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tbl>
      <w:tblPr>
        <w:tblpPr w:leftFromText="180" w:rightFromText="180" w:bottomFromText="200" w:vertAnchor="text" w:horzAnchor="margin" w:tblpX="-68" w:tblpY="-1697"/>
        <w:tblW w:w="9889" w:type="dxa"/>
        <w:tblInd w:w="-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3539"/>
        <w:gridCol w:w="1506"/>
        <w:gridCol w:w="4844"/>
      </w:tblGrid>
      <w:tr>
        <w:trPr>
          <w:trHeight w:val="1063"/>
        </w:trPr>
        <w:tc>
          <w:tcPr>
            <w:cnfStyle w:val="101000000000"/>
            <w:tcW w:w="3539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</w:tcPr>
          <w:p w14:paraId="00000001">
            <w:pPr>
              <w:spacing w:after="0" w:line="240" w:lineRule="auto"/>
              <w:ind w:left="-426"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drawing xmlns:mc="http://schemas.openxmlformats.org/markup-compatibility/2006">
                <wp:anchor allowOverlap="1" behindDoc="0" distT="0" distB="0" distL="114300" distR="114300" layoutInCell="1" locked="0" relativeHeight="251659264" simplePos="0">
                  <wp:simplePos x="0" y="0"/>
                  <wp:positionH relativeFrom="page">
                    <wp:posOffset>3579495</wp:posOffset>
                  </wp:positionH>
                  <wp:positionV relativeFrom="page">
                    <wp:posOffset>491490</wp:posOffset>
                  </wp:positionV>
                  <wp:extent cx="688340" cy="802640"/>
                  <wp:effectExtent l="0" t="0" r="0" b="0"/>
                  <wp:wrapSquare wrapText="bothSides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40" cy="80264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767676"/>
                              </a:gs>
                            </a:gsLst>
                            <a:lin ang="5400000" scaled="1"/>
                          </a:gradFill>
                        </pic:spPr>
                      </pic:pic>
                    </a:graphicData>
                  </a:graphic>
                </wp:anchor>
              </w:drawing>
            </w:r>
          </w:p>
          <w:p w14:paraId="00000002">
            <w:pPr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</w:p>
          <w:p w14:paraId="00000003">
            <w:pPr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КЪЭБЭРДЕЙ-БАЛЪКЪЭР РЕСПУБЛИКЭМ И АРУАН </w:t>
            </w: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  </w:t>
            </w: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МУНИЦИПАЛЬНЭ КУЕЙМ ЩЫЩ ПСЫНАБЭ КЪУАЖЭ АДМИНИСТРАЦЭ</w:t>
            </w:r>
          </w:p>
        </w:tc>
        <w:tc>
          <w:tcPr>
            <w:cnfStyle w:val="100000000000"/>
            <w:tcW w:w="1506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</w:tcPr>
          <w:p w14:paraId="00000004">
            <w:pPr>
              <w:spacing w:after="0" w:line="240" w:lineRule="auto"/>
              <w:ind w:right="-104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cnfStyle w:val="100000000000"/>
            <w:tcW w:w="4844" w:type="dxa"/>
            <w:tcBorders>
              <w:top w:val="nil" w:sz="4" w:space="0"/>
              <w:left w:val="nil" w:sz="4" w:space="0"/>
              <w:bottom w:val="nil" w:sz="4" w:space="0"/>
              <w:right w:val="nil" w:sz="4" w:space="0"/>
            </w:tcBorders>
          </w:tcPr>
          <w:p w14:paraId="00000005">
            <w:pPr>
              <w:spacing w:after="0" w:line="240" w:lineRule="auto"/>
              <w:ind w:right="-104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             </w:t>
            </w:r>
          </w:p>
          <w:p w14:paraId="00000006">
            <w:pPr>
              <w:spacing w:after="0" w:line="240" w:lineRule="auto"/>
              <w:ind w:right="-104"/>
              <w:rPr>
                <w:rFonts w:ascii="Times New Roman" w:cs="Times New Roman" w:hAnsi="Times New Roman"/>
                <w:b/>
                <w:sz w:val="18"/>
                <w:szCs w:val="18"/>
              </w:rPr>
            </w:pPr>
          </w:p>
          <w:p w14:paraId="00000007">
            <w:pPr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         </w:t>
            </w: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КЪАБАРТЫ-МАЛКЪАР</w:t>
            </w:r>
          </w:p>
          <w:p w14:paraId="00000008">
            <w:pPr>
              <w:keepNext w:val="on"/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         РЕСПУБЛИКАНЫ УРВАН            </w:t>
            </w:r>
          </w:p>
          <w:p w14:paraId="00000009">
            <w:pPr>
              <w:keepNext w:val="on"/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      МУНИЦИПАЛЬНЫЙ РАЙОНУНУ</w:t>
            </w:r>
          </w:p>
          <w:p w14:paraId="0000000A">
            <w:pPr>
              <w:keepNext w:val="on"/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 xml:space="preserve">  ПСЫНАБО ЭЛ </w:t>
            </w:r>
          </w:p>
          <w:p w14:paraId="0000000B">
            <w:pPr>
              <w:keepNext w:val="on"/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cs="Times New Roman" w:hAnsi="Times New Roman"/>
                <w:b/>
                <w:sz w:val="18"/>
                <w:szCs w:val="18"/>
              </w:rPr>
              <w:t>АДМИНИСТРАЦИЯСЫ</w:t>
            </w:r>
          </w:p>
          <w:p w14:paraId="0000000C">
            <w:pPr>
              <w:keepNext w:val="on"/>
              <w:spacing w:after="0" w:line="240" w:lineRule="auto"/>
              <w:ind w:right="-104"/>
              <w:jc w:val="center"/>
              <w:rPr>
                <w:rFonts w:ascii="Times New Roman" w:cs="Times New Roman" w:hAnsi="Times New Roman"/>
                <w:b/>
                <w:sz w:val="18"/>
                <w:szCs w:val="18"/>
              </w:rPr>
            </w:pPr>
          </w:p>
        </w:tc>
      </w:tr>
    </w:tbl>
    <w:p w14:paraId="0000000D">
      <w:pPr>
        <w:spacing w:after="0" w:line="240" w:lineRule="auto"/>
        <w:rPr>
          <w:rFonts w:ascii="Times New Roman" w:cs="Times New Roman" w:hAnsi="Times New Roman"/>
          <w:b/>
          <w:sz w:val="18"/>
          <w:szCs w:val="18"/>
        </w:rPr>
      </w:pPr>
      <w:r>
        <w:rPr>
          <w:rFonts w:ascii="Times New Roman" w:cs="Times New Roman" w:hAnsi="Times New Roman"/>
          <w:b/>
          <w:sz w:val="18"/>
          <w:szCs w:val="18"/>
        </w:rPr>
        <w:t xml:space="preserve">                                             </w:t>
      </w:r>
      <w:r>
        <w:rPr>
          <w:rFonts w:ascii="Times New Roman" w:cs="Times New Roman" w:hAnsi="Times New Roman"/>
          <w:b/>
          <w:sz w:val="18"/>
          <w:szCs w:val="18"/>
        </w:rPr>
        <w:t xml:space="preserve">МУНИЦИПАЛЬНОЕ КАЗЕННОЕ  УЧРЕЖДЕНИЕ </w:t>
      </w:r>
    </w:p>
    <w:p w14:paraId="0000000E">
      <w:pPr>
        <w:spacing w:after="0" w:line="240" w:lineRule="auto"/>
        <w:rPr>
          <w:rFonts w:ascii="Times New Roman" w:cs="Times New Roman" w:hAnsi="Times New Roman"/>
          <w:b/>
          <w:sz w:val="18"/>
          <w:szCs w:val="18"/>
        </w:rPr>
      </w:pPr>
      <w:r>
        <w:rPr>
          <w:rFonts w:ascii="Times New Roman" w:cs="Times New Roman" w:hAnsi="Times New Roman"/>
          <w:b/>
          <w:sz w:val="18"/>
          <w:szCs w:val="18"/>
        </w:rPr>
        <w:t xml:space="preserve">            МЕСТНАЯ АДМИНИСТРАЦИЯ СЕЛЬСКОГО ПОСЕЛЕНИЯ ПСЫНАБО УРВАНСКОГО   </w:t>
      </w:r>
    </w:p>
    <w:p w14:paraId="0000000F">
      <w:pPr>
        <w:spacing w:after="0" w:line="240" w:lineRule="auto"/>
        <w:rPr>
          <w:b/>
        </w:rPr>
      </w:pPr>
      <w:r>
        <w:rPr>
          <w:rFonts w:ascii="Times New Roman" w:cs="Times New Roman" w:hAnsi="Times New Roman"/>
          <w:b/>
          <w:sz w:val="18"/>
          <w:szCs w:val="18"/>
        </w:rPr>
        <w:t xml:space="preserve">                     МУНИЦИПАЛЬНОГО РАЙОНА КАБАРДИНО-БАЛКАРСКОЙ РЕСПУБЛИКИ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36"/>
          <w:szCs w:val="36"/>
        </w:rPr>
        <w:t xml:space="preserve">                                                    </w:t>
      </w:r>
    </w:p>
    <w:p w14:paraId="00000010">
      <w:pPr>
        <w:pBdr>
          <w:bottom w:val="double" w:color="auto" w:sz="6" w:space="7"/>
        </w:pBdr>
        <w:spacing w:after="0" w:line="240" w:lineRule="auto"/>
        <w:ind w:right="-104"/>
        <w:rPr>
          <w:rFonts w:ascii="Times New Roman" w:cs="Times New Roman" w:hAnsi="Times New Roman"/>
          <w:sz w:val="16"/>
          <w:szCs w:val="16"/>
        </w:rPr>
      </w:pPr>
      <w:r>
        <w:rPr>
          <w:rFonts w:ascii="Times New Roman" w:cs="Times New Roman" w:hAnsi="Times New Roman"/>
          <w:sz w:val="16"/>
          <w:szCs w:val="16"/>
        </w:rPr>
        <w:t xml:space="preserve"> </w:t>
      </w:r>
      <w:r>
        <w:rPr>
          <w:rFonts w:ascii="Times New Roman" w:cs="Times New Roman" w:hAnsi="Times New Roman"/>
          <w:sz w:val="16"/>
          <w:szCs w:val="16"/>
        </w:rPr>
        <w:t xml:space="preserve"> 361309, КБР,</w:t>
      </w:r>
      <w:r>
        <w:rPr>
          <w:rFonts w:ascii="Times New Roman" w:cs="Times New Roman" w:hAnsi="Times New Roman"/>
          <w:sz w:val="16"/>
          <w:szCs w:val="16"/>
        </w:rPr>
        <w:t>Урванского района</w:t>
      </w:r>
      <w:r>
        <w:rPr>
          <w:rFonts w:ascii="Times New Roman" w:cs="Times New Roman" w:hAnsi="Times New Roman"/>
          <w:sz w:val="16"/>
          <w:szCs w:val="16"/>
        </w:rPr>
        <w:t xml:space="preserve"> </w:t>
      </w:r>
      <w:r>
        <w:rPr>
          <w:rFonts w:ascii="Times New Roman" w:cs="Times New Roman" w:hAnsi="Times New Roman"/>
          <w:sz w:val="16"/>
          <w:szCs w:val="16"/>
        </w:rPr>
        <w:t xml:space="preserve">с. Псынабо, </w:t>
      </w:r>
      <w:r>
        <w:rPr>
          <w:rFonts w:ascii="Times New Roman" w:cs="Times New Roman" w:hAnsi="Times New Roman"/>
          <w:sz w:val="16"/>
          <w:szCs w:val="16"/>
        </w:rPr>
        <w:t xml:space="preserve">                   </w:t>
      </w:r>
      <w:r>
        <w:rPr>
          <w:rFonts w:ascii="Times New Roman" w:cs="Times New Roman" w:hAnsi="Times New Roman"/>
          <w:sz w:val="16"/>
          <w:szCs w:val="16"/>
        </w:rPr>
        <w:t xml:space="preserve">     </w:t>
      </w:r>
      <w:r>
        <w:rPr>
          <w:rFonts w:ascii="Times New Roman" w:cs="Times New Roman" w:hAnsi="Times New Roman"/>
          <w:sz w:val="16"/>
          <w:szCs w:val="16"/>
        </w:rPr>
        <w:t xml:space="preserve">         </w:t>
      </w:r>
      <w:r>
        <w:rPr>
          <w:rFonts w:ascii="Times New Roman" w:cs="Times New Roman" w:hAnsi="Times New Roman"/>
          <w:sz w:val="16"/>
          <w:szCs w:val="16"/>
        </w:rPr>
        <w:t xml:space="preserve">     </w:t>
      </w:r>
      <w:r>
        <w:rPr>
          <w:rFonts w:ascii="Times New Roman" w:cs="Times New Roman" w:hAnsi="Times New Roman"/>
          <w:sz w:val="16"/>
          <w:szCs w:val="16"/>
        </w:rPr>
        <w:t xml:space="preserve">                                                                тел.:8(866-35-4-08-03)                                                                                           </w:t>
      </w:r>
      <w:r>
        <w:rPr>
          <w:rFonts w:ascii="Times New Roman" w:cs="Times New Roman" w:hAnsi="Times New Roman"/>
          <w:sz w:val="16"/>
          <w:szCs w:val="16"/>
        </w:rPr>
        <w:t xml:space="preserve">            </w:t>
      </w:r>
      <w:r>
        <w:rPr>
          <w:rFonts w:ascii="Times New Roman" w:cs="Times New Roman" w:hAnsi="Times New Roman"/>
          <w:sz w:val="16"/>
          <w:szCs w:val="16"/>
        </w:rPr>
        <w:t xml:space="preserve">                              </w:t>
      </w:r>
      <w:r>
        <w:rPr>
          <w:rFonts w:ascii="Times New Roman" w:cs="Times New Roman" w:hAnsi="Times New Roman"/>
          <w:sz w:val="16"/>
          <w:szCs w:val="16"/>
        </w:rPr>
        <w:t xml:space="preserve"> ул. М, Шекихачевой,2</w:t>
      </w:r>
      <w:r>
        <w:rPr>
          <w:rFonts w:ascii="Times New Roman" w:cs="Times New Roman" w:hAnsi="Times New Roman"/>
          <w:sz w:val="16"/>
          <w:szCs w:val="16"/>
        </w:rPr>
        <w:t xml:space="preserve">6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16"/>
          <w:szCs w:val="16"/>
          <w:lang w:val="en-US"/>
        </w:rPr>
        <w:t>E</w:t>
      </w:r>
      <w:r>
        <w:rPr>
          <w:rFonts w:ascii="Times New Roman" w:cs="Times New Roman" w:hAnsi="Times New Roman"/>
          <w:sz w:val="16"/>
          <w:szCs w:val="16"/>
        </w:rPr>
        <w:t>-</w:t>
      </w:r>
      <w:r>
        <w:rPr>
          <w:rFonts w:ascii="Times New Roman" w:cs="Times New Roman" w:hAnsi="Times New Roman"/>
          <w:sz w:val="16"/>
          <w:szCs w:val="16"/>
          <w:lang w:val="en-US"/>
        </w:rPr>
        <w:t>mail</w:t>
      </w:r>
      <w:r>
        <w:rPr>
          <w:rFonts w:ascii="Times New Roman" w:cs="Times New Roman" w:hAnsi="Times New Roman"/>
          <w:sz w:val="16"/>
          <w:szCs w:val="16"/>
        </w:rPr>
        <w:t>:0707006014@</w:t>
      </w:r>
      <w:r>
        <w:rPr>
          <w:rFonts w:ascii="Times New Roman" w:cs="Times New Roman" w:hAnsi="Times New Roman"/>
          <w:sz w:val="16"/>
          <w:szCs w:val="16"/>
          <w:lang w:val="en-US"/>
        </w:rPr>
        <w:t>mail</w:t>
      </w:r>
      <w:r>
        <w:rPr>
          <w:rFonts w:ascii="Times New Roman" w:cs="Times New Roman" w:hAnsi="Times New Roman"/>
          <w:sz w:val="16"/>
          <w:szCs w:val="16"/>
        </w:rPr>
        <w:t>.</w:t>
      </w:r>
      <w:r>
        <w:rPr>
          <w:rFonts w:ascii="Times New Roman" w:cs="Times New Roman" w:hAnsi="Times New Roman"/>
          <w:sz w:val="16"/>
          <w:szCs w:val="16"/>
          <w:lang w:val="en-US"/>
        </w:rPr>
        <w:t>ru</w:t>
      </w:r>
      <w:r>
        <w:rPr>
          <w:rFonts w:ascii="Times New Roman" w:cs="Times New Roman" w:hAnsi="Times New Roman"/>
          <w:sz w:val="28"/>
          <w:szCs w:val="28"/>
        </w:rPr>
        <w:t xml:space="preserve">                    </w:t>
      </w:r>
    </w:p>
    <w:p w14:paraId="00000011">
      <w:pPr>
        <w:pStyle w:val="ConsPlusTitle"/>
        <w:jc w:val="right"/>
        <w:rPr>
          <w:rFonts w:ascii="Times New Roman" w:cs="Times New Roman" w:hAnsi="Times New Roman"/>
          <w:sz w:val="24"/>
          <w:szCs w:val="24"/>
        </w:rPr>
      </w:pPr>
    </w:p>
    <w:p w14:paraId="00000012">
      <w:pPr>
        <w:pStyle w:val="ConsPlusTitle"/>
        <w:jc w:val="center"/>
        <w:rPr>
          <w:rFonts w:ascii="Times New Roman" w:cs="Times New Roman" w:hAnsi="Times New Roman"/>
          <w:sz w:val="24"/>
          <w:szCs w:val="24"/>
        </w:rPr>
      </w:pPr>
    </w:p>
    <w:p w14:paraId="00000013">
      <w:pPr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ПОСТАНОВЛЕНИЕ № 25</w:t>
      </w:r>
      <w:bookmarkStart w:id="0" w:name="_GoBack"/>
      <w:bookmarkEnd w:id="0"/>
    </w:p>
    <w:p w14:paraId="00000014">
      <w:pPr>
        <w:spacing w:line="-216" w:lineRule="auto"/>
        <w:rPr>
          <w:rFonts w:ascii="Times New Roman" w:cs="Times New Roman" w:hAnsi="Times New Roman"/>
          <w:b/>
        </w:rPr>
      </w:pPr>
    </w:p>
    <w:p w14:paraId="00000015">
      <w:pPr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08.07.2024 г.</w:t>
      </w:r>
      <w:r>
        <w:rPr>
          <w:rFonts w:ascii="Times New Roman" w:cs="Times New Roman" w:hAnsi="Times New Roman"/>
        </w:rPr>
        <w:t xml:space="preserve">                             </w:t>
      </w:r>
      <w:r>
        <w:rPr>
          <w:rFonts w:ascii="Times New Roman" w:cs="Times New Roman" w:hAnsi="Times New Roman"/>
        </w:rPr>
        <w:t xml:space="preserve">                                                                       </w:t>
      </w:r>
      <w:r>
        <w:rPr>
          <w:rFonts w:ascii="Times New Roman" w:cs="Times New Roman" w:hAnsi="Times New Roman"/>
        </w:rPr>
        <w:t xml:space="preserve">           </w:t>
      </w:r>
      <w:r>
        <w:rPr>
          <w:rFonts w:ascii="Times New Roman" w:cs="Times New Roman" w:hAnsi="Times New Roman"/>
        </w:rPr>
        <w:t xml:space="preserve">               с.п.</w:t>
      </w:r>
      <w:r>
        <w:rPr>
          <w:rFonts w:ascii="Times New Roman" w:cs="Times New Roman" w:hAnsi="Times New Roman"/>
        </w:rPr>
        <w:t xml:space="preserve"> Псынабо</w:t>
      </w:r>
    </w:p>
    <w:p w14:paraId="00000016">
      <w:pPr>
        <w:pStyle w:val="BodyText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порядке использования</w:t>
      </w:r>
    </w:p>
    <w:p w14:paraId="00000017">
      <w:pPr>
        <w:pStyle w:val="BodyText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бюджетных ассигнований резервного фонда</w:t>
      </w:r>
    </w:p>
    <w:p w14:paraId="00000018">
      <w:pPr>
        <w:pStyle w:val="BodyText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МКУ «</w:t>
      </w:r>
      <w:r>
        <w:rPr>
          <w:b/>
          <w:sz w:val="28"/>
          <w:szCs w:val="28"/>
        </w:rPr>
        <w:t>Местная</w:t>
      </w:r>
      <w:r>
        <w:rPr>
          <w:b/>
          <w:sz w:val="28"/>
          <w:szCs w:val="28"/>
        </w:rPr>
        <w:t xml:space="preserve"> администрации  сельского поселения  </w:t>
      </w:r>
      <w:r>
        <w:rPr>
          <w:b/>
          <w:sz w:val="28"/>
          <w:szCs w:val="28"/>
        </w:rPr>
        <w:t>Псынабо</w:t>
      </w:r>
      <w:r>
        <w:rPr>
          <w:b/>
          <w:sz w:val="28"/>
          <w:szCs w:val="28"/>
        </w:rPr>
        <w:t xml:space="preserve"> Урванского муниципального района КБР»</w:t>
      </w:r>
    </w:p>
    <w:p w14:paraId="00000019">
      <w:pPr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соответствии со статьей 81 Бюджетного кодекса Российской Федерации и Уставом  МКУ «Местная администрация  сельского поселения </w:t>
      </w:r>
      <w:r>
        <w:rPr>
          <w:rFonts w:ascii="Times New Roman" w:cs="Times New Roman" w:hAnsi="Times New Roman"/>
          <w:sz w:val="28"/>
          <w:szCs w:val="28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Урванского муниципального района КБР» (в дальнейшем Администрация) </w:t>
      </w:r>
    </w:p>
    <w:p w14:paraId="0000001A">
      <w:pPr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                              П</w:t>
      </w:r>
      <w:r>
        <w:rPr>
          <w:rFonts w:ascii="Times New Roman" w:cs="Times New Roman" w:hAnsi="Times New Roman"/>
          <w:b/>
          <w:sz w:val="28"/>
          <w:szCs w:val="28"/>
        </w:rPr>
        <w:t xml:space="preserve"> о с т а </w:t>
      </w:r>
      <w:r>
        <w:rPr>
          <w:rFonts w:ascii="Times New Roman" w:cs="Times New Roman" w:hAnsi="Times New Roman"/>
          <w:b/>
          <w:sz w:val="28"/>
          <w:szCs w:val="28"/>
        </w:rPr>
        <w:t>н</w:t>
      </w:r>
      <w:r>
        <w:rPr>
          <w:rFonts w:ascii="Times New Roman" w:cs="Times New Roman" w:hAnsi="Times New Roman"/>
          <w:b/>
          <w:sz w:val="28"/>
          <w:szCs w:val="28"/>
        </w:rPr>
        <w:t xml:space="preserve"> о в л я е т:</w:t>
      </w:r>
    </w:p>
    <w:p w14:paraId="0000001B">
      <w:pPr>
        <w:pStyle w:val="BodyTextIndent"/>
        <w:numPr>
          <w:ilvl w:val="1"/>
          <w:numId w:val="2"/>
        </w:numPr>
        <w:tabs>
          <w:tab w:val="clear" w:pos="1353"/>
          <w:tab w:val="num" w:pos="284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порядке использования бюджетных ассигнований резервного фонда МКУ «Местная администрация  сельского поселения </w:t>
      </w:r>
      <w:r>
        <w:rPr>
          <w:sz w:val="28"/>
          <w:szCs w:val="28"/>
        </w:rPr>
        <w:t>Псынабо</w:t>
      </w:r>
      <w:r>
        <w:rPr>
          <w:sz w:val="28"/>
          <w:szCs w:val="28"/>
        </w:rPr>
        <w:t xml:space="preserve"> Урванского муниципального района КБР» согласно приложению к настоящему постановлению.</w:t>
      </w:r>
    </w:p>
    <w:p w14:paraId="0000001C">
      <w:pPr>
        <w:numPr>
          <w:ilvl w:val="1"/>
          <w:numId w:val="2"/>
        </w:numPr>
        <w:tabs>
          <w:tab w:val="clear" w:pos="1353"/>
        </w:tabs>
        <w:spacing w:after="0" w:line="240" w:lineRule="auto"/>
        <w:ind w:left="0"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Постановление Администрации  сельского поселения </w:t>
      </w:r>
      <w:r>
        <w:rPr>
          <w:rFonts w:ascii="Times New Roman" w:cs="Times New Roman" w:hAnsi="Times New Roman"/>
          <w:sz w:val="28"/>
          <w:szCs w:val="28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Урванского муниципального района  </w:t>
      </w:r>
      <w:r>
        <w:rPr>
          <w:rFonts w:ascii="Times New Roman" w:cs="Times New Roman" w:hAnsi="Times New Roman"/>
          <w:color w:val="auto"/>
          <w:sz w:val="28"/>
          <w:szCs w:val="28"/>
        </w:rPr>
        <w:t>от 10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cs="Times New Roman" w:hAnsi="Times New Roman"/>
          <w:color w:val="auto"/>
          <w:sz w:val="28"/>
          <w:szCs w:val="28"/>
        </w:rPr>
        <w:t>октября 2016</w:t>
      </w:r>
      <w:r>
        <w:rPr>
          <w:rFonts w:ascii="Times New Roman" w:cs="Times New Roman" w:hAnsi="Times New Roman"/>
          <w:color w:val="auto"/>
          <w:sz w:val="28"/>
          <w:szCs w:val="28"/>
        </w:rPr>
        <w:t xml:space="preserve"> года № </w:t>
      </w:r>
      <w:r>
        <w:rPr>
          <w:rFonts w:ascii="Times New Roman" w:cs="Times New Roman" w:hAnsi="Times New Roman"/>
          <w:color w:val="auto"/>
          <w:sz w:val="28"/>
          <w:szCs w:val="28"/>
        </w:rPr>
        <w:t>133</w:t>
      </w:r>
      <w:r>
        <w:rPr>
          <w:rFonts w:ascii="Times New Roman" w:cs="Times New Roman" w:hAnsi="Times New Roman"/>
          <w:sz w:val="28"/>
          <w:szCs w:val="28"/>
        </w:rPr>
        <w:t xml:space="preserve"> «Об утверждении положения о порядке </w:t>
      </w:r>
      <w:r>
        <w:rPr>
          <w:rFonts w:ascii="Times New Roman" w:cs="Times New Roman" w:hAnsi="Times New Roman"/>
          <w:sz w:val="28"/>
          <w:szCs w:val="28"/>
        </w:rPr>
        <w:t>расходования средств резервного фонда Администрации сельского поселения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Урванского муниципального района КБР» признать утратившим силу. </w:t>
      </w:r>
    </w:p>
    <w:p w14:paraId="0000001D">
      <w:pPr>
        <w:numPr>
          <w:ilvl w:val="1"/>
          <w:numId w:val="2"/>
        </w:numPr>
        <w:tabs>
          <w:tab w:val="clear" w:pos="1353"/>
        </w:tabs>
        <w:spacing w:after="0" w:line="240" w:lineRule="auto"/>
        <w:ind w:left="0" w:firstLine="426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Настоящее постановление подлежит обязательному опубликованию.</w:t>
      </w:r>
    </w:p>
    <w:p w14:paraId="0000001E">
      <w:pPr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4. Настоящее постановление вступает в силу со дня его официального опубликования.</w:t>
      </w:r>
    </w:p>
    <w:p w14:paraId="0000001F">
      <w:pPr>
        <w:ind w:firstLine="426"/>
        <w:jc w:val="both"/>
        <w:rPr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5. Контроль исполнения настоящего постановления оставляю за собой</w:t>
      </w:r>
      <w:r>
        <w:rPr>
          <w:sz w:val="28"/>
          <w:szCs w:val="28"/>
        </w:rPr>
        <w:t>.</w:t>
      </w:r>
    </w:p>
    <w:p w14:paraId="00000020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21">
      <w:pPr>
        <w:pStyle w:val="ConsPlusNormal"/>
        <w:rPr>
          <w:sz w:val="28"/>
          <w:szCs w:val="28"/>
        </w:rPr>
      </w:pPr>
    </w:p>
    <w:p w14:paraId="00000022">
      <w:pPr>
        <w:pStyle w:val="ConsPlusNormal"/>
        <w:rPr>
          <w:sz w:val="28"/>
          <w:szCs w:val="28"/>
        </w:rPr>
      </w:pPr>
    </w:p>
    <w:p w14:paraId="00000023">
      <w:pPr>
        <w:pStyle w:val="ConsPlusNormal"/>
        <w:rPr>
          <w:rFonts w:ascii="Times New Roman" w:cs="Times New Roman" w:hAnsi="Times New Roman"/>
          <w:sz w:val="28"/>
          <w:szCs w:val="28"/>
        </w:rPr>
      </w:pPr>
      <w:r>
        <w:rPr>
          <w:sz w:val="28"/>
          <w:szCs w:val="28"/>
        </w:rPr>
        <w:t>Глава администрации с.п.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Псынабо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Х.С. </w:t>
      </w:r>
      <w:r>
        <w:rPr>
          <w:sz w:val="28"/>
          <w:szCs w:val="28"/>
        </w:rPr>
        <w:t>Балкаров</w:t>
      </w:r>
      <w:r>
        <w:rPr>
          <w:sz w:val="28"/>
          <w:szCs w:val="28"/>
        </w:rPr>
        <w:t xml:space="preserve">                            </w:t>
      </w:r>
    </w:p>
    <w:p w14:paraId="00000024">
      <w:pPr>
        <w:pageBreakBefore w:val="on"/>
        <w:spacing w:after="0" w:line="240" w:lineRule="auto"/>
        <w:ind w:left="5528" w:firstLine="709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Приложение </w:t>
      </w:r>
    </w:p>
    <w:p w14:paraId="00000025">
      <w:pPr>
        <w:widowControl w:val="off"/>
        <w:spacing w:after="0" w:line="240" w:lineRule="auto"/>
        <w:ind w:left="6237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к постановлению Администрации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</w:p>
    <w:p w14:paraId="00000026">
      <w:pPr>
        <w:spacing w:after="0" w:line="240" w:lineRule="auto"/>
        <w:ind w:left="6237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от   08.07.2024 года   № 25 </w:t>
      </w:r>
    </w:p>
    <w:p w14:paraId="00000027">
      <w:pPr>
        <w:spacing w:after="0"/>
        <w:ind w:left="6237"/>
        <w:jc w:val="center"/>
        <w:rPr>
          <w:rFonts w:ascii="Times New Roman" w:cs="Times New Roman" w:eastAsia="Calibri" w:hAnsi="Times New Roman"/>
          <w:sz w:val="24"/>
          <w:szCs w:val="24"/>
          <w:lang w:eastAsia="en-US"/>
        </w:rPr>
      </w:pPr>
    </w:p>
    <w:p w14:paraId="00000028">
      <w:pPr>
        <w:tabs>
          <w:tab w:val="left" w:pos="284"/>
          <w:tab w:val="left" w:pos="3210"/>
        </w:tabs>
        <w:spacing w:after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ПОЛОЖЕНИЕ</w:t>
      </w:r>
    </w:p>
    <w:p w14:paraId="00000029">
      <w:pPr>
        <w:tabs>
          <w:tab w:val="left" w:pos="284"/>
          <w:tab w:val="left" w:pos="3210"/>
        </w:tabs>
        <w:spacing w:after="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о порядке </w:t>
      </w:r>
      <w:r>
        <w:rPr>
          <w:rFonts w:ascii="Times New Roman" w:cs="Times New Roman" w:hAnsi="Times New Roman"/>
          <w:sz w:val="24"/>
          <w:szCs w:val="24"/>
        </w:rPr>
        <w:t>использования бюджетных ассигнований резервного фонда Администрации  сельского поселения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</w:p>
    <w:p w14:paraId="0000002A">
      <w:pPr>
        <w:tabs>
          <w:tab w:val="left" w:pos="284"/>
          <w:tab w:val="left" w:pos="3210"/>
        </w:tabs>
        <w:spacing w:after="0"/>
        <w:jc w:val="center"/>
        <w:rPr>
          <w:rFonts w:ascii="Times New Roman" w:cs="Times New Roman" w:hAnsi="Times New Roman"/>
          <w:sz w:val="24"/>
          <w:szCs w:val="24"/>
        </w:rPr>
      </w:pPr>
    </w:p>
    <w:p w14:paraId="0000002B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1. Настоящим Положением определяется порядок </w:t>
      </w:r>
      <w:r>
        <w:rPr>
          <w:rFonts w:ascii="Times New Roman" w:cs="Times New Roman" w:hAnsi="Times New Roman"/>
          <w:bCs/>
          <w:sz w:val="24"/>
          <w:szCs w:val="24"/>
        </w:rPr>
        <w:t>использования бюджетных ассигнований резервного фонда администрации</w:t>
      </w:r>
      <w:r>
        <w:rPr>
          <w:rFonts w:ascii="Times New Roman" w:cs="Times New Roman" w:hAnsi="Times New Roman"/>
          <w:sz w:val="24"/>
          <w:szCs w:val="24"/>
        </w:rPr>
        <w:t xml:space="preserve">  сельского поселения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2C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 Резервный фонд администрации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(далее – резервный фонд) формируется в составе расходной части бюджета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. Объем резервного фонда утверждается решением Совета местного самоуправления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о бюджете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района и не может превышать 3 процента утвержденного указанным решением общего объема расходов.</w:t>
      </w:r>
    </w:p>
    <w:p w14:paraId="0000002D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 Бюджетные ассигнования резервного фонда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14:paraId="0000002E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Получателем бюджетных ассигнований выступает главный распорядитель бюджетных средств администрации </w:t>
      </w:r>
      <w:r>
        <w:rPr>
          <w:rFonts w:ascii="Times New Roman" w:cs="Times New Roman" w:hAnsi="Times New Roman"/>
          <w:sz w:val="24"/>
          <w:szCs w:val="24"/>
        </w:rPr>
        <w:t xml:space="preserve">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2F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4. Основанием для выделения бюджетных ассигнований из резервного фонда является решение администрации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о выделении бюджетных ассигнований из резервного фонда. </w:t>
      </w:r>
    </w:p>
    <w:p w14:paraId="00000030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Решение о выделении бюджетных ассигнований резервного фонда оформляется распоряжением администрации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(далее – распоряжение).</w:t>
      </w:r>
    </w:p>
    <w:p w14:paraId="00000031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 распоряжении указываются:</w:t>
      </w:r>
    </w:p>
    <w:p w14:paraId="00000032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1) основание принятия соответствующего решения;</w:t>
      </w:r>
    </w:p>
    <w:p w14:paraId="00000033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2) наименование главного распорядителя бюджетных средств, в распоряжение которого выделяются бюджетные ассигнования резервного фонда;</w:t>
      </w:r>
    </w:p>
    <w:p w14:paraId="00000034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3) общий объем бюджетных ассигнований, выделяемых из резервного фонда с указанием классификации расходов бюджета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района;</w:t>
      </w:r>
    </w:p>
    <w:p w14:paraId="00000035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4) мероприятия, на которые используются средства (конкретный объект и вид работ (услуг);</w:t>
      </w:r>
    </w:p>
    <w:p w14:paraId="00000036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5) срок предоставления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отчета (отчетов) о целевом использовании полученных средств фонда получателями бюджетных средств. </w:t>
      </w:r>
    </w:p>
    <w:p w14:paraId="00000037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5. Подготовка проекта распоряжения осуществляется финансовым органом администрации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38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Основанием для рассмотрения вопроса о выделении средств  фонда является письменное обращение заинтересованного лица о выделении средств из резервного фонда с приложением документов, обосновывающих размер запрашиваемых средств (смета и расчет)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</w:p>
    <w:p w14:paraId="00000039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 результатам рассмотрения обращения в срок не более 15 календарных дней с момента поступления обращения подготавливается один из следующих документов:</w:t>
      </w:r>
    </w:p>
    <w:p w14:paraId="0000003A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color w:val="ff0066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1) проект распоряжения;  </w:t>
      </w:r>
    </w:p>
    <w:p w14:paraId="0000003B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2) заключение о невозможности выделения средств из резервного фонда.</w:t>
      </w:r>
    </w:p>
    <w:p w14:paraId="0000003C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 проекту  распоряжения прилагаются документы, подтверждающие необходимость выделения средств фонда в планируемых объемах, включая непредвиденность и неотложность мероприятий, предлагаемых к финансированию за счет средств фонда, сметно-финансовые расчеты, акты обследования, заключения соответствующих структурных подразделений администрации и др.</w:t>
      </w:r>
    </w:p>
    <w:p w14:paraId="0000003D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Финансирование расходов за счет средств резервного фонда осуществляется финансовым органом администрации на основании распоряжения. </w:t>
      </w:r>
    </w:p>
    <w:p w14:paraId="0000003E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6. Средства резервного фонда подлежат использованию строго по целевому назначению, определенному распоряжением. Использование средств резервного фонда на другие цели не допускается. </w:t>
      </w:r>
    </w:p>
    <w:p w14:paraId="0000003F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случаях установления нецелевого использования бюджетных средств резервного фонда, влекущего ответственность, установленную действующим законодательством Российской Федерации, бюджетные средства подлежат возврату в бюджет</w:t>
      </w:r>
      <w:r>
        <w:rPr>
          <w:rFonts w:ascii="Times New Roman" w:cs="Times New Roman" w:hAnsi="Times New Roman"/>
          <w:sz w:val="24"/>
          <w:szCs w:val="24"/>
        </w:rPr>
        <w:t xml:space="preserve">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 района</w:t>
      </w:r>
      <w:r>
        <w:rPr>
          <w:rFonts w:ascii="Times New Roman" w:cs="Times New Roman" w:hAnsi="Times New Roman"/>
          <w:i/>
          <w:sz w:val="24"/>
          <w:szCs w:val="24"/>
        </w:rPr>
        <w:t xml:space="preserve">. </w:t>
      </w:r>
    </w:p>
    <w:p w14:paraId="00000040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В случае неполного использования средств, выделенных за счет резервного фонда, неиспользованные остатки подлежат возврату на единый счет бюджета  муниципального образования  </w:t>
      </w:r>
      <w:r>
        <w:rPr>
          <w:rFonts w:ascii="Times New Roman" w:cs="Times New Roman" w:hAnsi="Times New Roman"/>
          <w:sz w:val="24"/>
          <w:szCs w:val="24"/>
        </w:rPr>
        <w:t xml:space="preserve">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в течение 10 календарных дней со дня</w:t>
      </w:r>
      <w:r>
        <w:rPr>
          <w:rFonts w:ascii="Times New Roman" w:cs="Times New Roman" w:hAnsi="Times New Roman"/>
          <w:color w:val="ff0066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представления отчета об использовании средств резервного фонда администрации </w:t>
      </w:r>
      <w:r>
        <w:rPr>
          <w:rFonts w:ascii="Times New Roman" w:cs="Times New Roman" w:hAnsi="Times New Roman"/>
          <w:sz w:val="24"/>
          <w:szCs w:val="24"/>
        </w:rPr>
        <w:t xml:space="preserve">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41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7. </w:t>
      </w:r>
      <w:r>
        <w:rPr>
          <w:rFonts w:ascii="Times New Roman" w:cs="Times New Roman" w:hAnsi="Times New Roman"/>
          <w:sz w:val="24"/>
          <w:szCs w:val="24"/>
        </w:rPr>
        <w:t>Контроль за</w:t>
      </w:r>
      <w:r>
        <w:rPr>
          <w:rFonts w:ascii="Times New Roman" w:cs="Times New Roman" w:hAnsi="Times New Roman"/>
          <w:sz w:val="24"/>
          <w:szCs w:val="24"/>
        </w:rPr>
        <w:t xml:space="preserve"> использованием бюджетных ассигнований резервного фонда осуществляется финансовым органом, главными распорядителями средств бюджета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 района, органами муниципального финансового контроля в пределах своей компетенции.</w:t>
      </w:r>
    </w:p>
    <w:p w14:paraId="00000042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Получатели бюджетных средств резервного фонда в сроки, указанные в   распоряжении  администрации о выделении бюджетных ассигнований резервного фонда, представляют отчет об использовании полученных средств, согласованный главным распорядителем средств бюджета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  района в финансовый орган по форме согласно приложению № 1 к настоящему Положению.</w:t>
      </w:r>
    </w:p>
    <w:p w14:paraId="00000043">
      <w:pPr>
        <w:tabs>
          <w:tab w:val="left" w:pos="284"/>
        </w:tabs>
        <w:spacing w:after="0"/>
        <w:ind w:firstLine="709"/>
        <w:jc w:val="both"/>
        <w:rPr>
          <w:rFonts w:ascii="Times New Roman" w:cs="Times New Roman" w:hAnsi="Times New Roman"/>
          <w:sz w:val="24"/>
          <w:szCs w:val="24"/>
        </w:rPr>
        <w:sectPr>
          <w:footerReference w:type="default" r:id="rId15"/>
          <w:pgSz w:w="11906" w:h="16838"/>
          <w:pgMar w:top="459" w:right="850" w:bottom="1134" w:left="1701" w:header="708" w:footer="708" w:gutter="0"/>
          <w:pgNumType w:start="1"/>
          <w:cols w:space="720"/>
        </w:sectPr>
      </w:pPr>
      <w:r>
        <w:rPr>
          <w:rFonts w:ascii="Times New Roman" w:cs="Times New Roman" w:hAnsi="Times New Roman"/>
          <w:sz w:val="24"/>
          <w:szCs w:val="24"/>
        </w:rPr>
        <w:t xml:space="preserve">Отчет об использовании бюджетных ассигнований резервного фонда прилагается к годовому отчету об исполнении бюджета  сельского поселения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</w:t>
      </w:r>
      <w:r>
        <w:rPr>
          <w:rFonts w:ascii="Times New Roman" w:cs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cs="Times New Roman" w:hAnsi="Times New Roman"/>
          <w:sz w:val="24"/>
          <w:szCs w:val="24"/>
        </w:rPr>
        <w:t>района КБР.</w:t>
      </w:r>
    </w:p>
    <w:p w14:paraId="00000044">
      <w:pPr>
        <w:jc w:val="right"/>
        <w:rPr>
          <w:rFonts w:ascii="Times New Roman" w:cs="Times New Roman" w:hAnsi="Times New Roman"/>
        </w:rPr>
      </w:pPr>
    </w:p>
    <w:p w14:paraId="00000045">
      <w:pPr>
        <w:jc w:val="right"/>
        <w:rPr>
          <w:rFonts w:ascii="Times New Roman" w:cs="Times New Roman" w:hAnsi="Times New Roman"/>
        </w:rPr>
      </w:pPr>
    </w:p>
    <w:p w14:paraId="00000046">
      <w:pPr>
        <w:jc w:val="right"/>
        <w:rPr>
          <w:rFonts w:ascii="Times New Roman" w:cs="Times New Roman" w:hAnsi="Times New Roman"/>
        </w:rPr>
      </w:pPr>
    </w:p>
    <w:p w14:paraId="00000047">
      <w:pPr>
        <w:jc w:val="right"/>
        <w:rPr>
          <w:rFonts w:ascii="Times New Roman" w:cs="Times New Roman" w:hAnsi="Times New Roman"/>
        </w:rPr>
      </w:pPr>
    </w:p>
    <w:p w14:paraId="00000048">
      <w:pPr>
        <w:jc w:val="right"/>
        <w:rPr>
          <w:rFonts w:ascii="Times New Roman" w:cs="Times New Roman" w:hAnsi="Times New Roman"/>
        </w:rPr>
      </w:pPr>
    </w:p>
    <w:p w14:paraId="00000049">
      <w:pPr>
        <w:jc w:val="right"/>
        <w:rPr>
          <w:rFonts w:ascii="Times New Roman" w:cs="Times New Roman" w:hAnsi="Times New Roman"/>
        </w:rPr>
      </w:pPr>
    </w:p>
    <w:p w14:paraId="0000004A">
      <w:pPr>
        <w:jc w:val="right"/>
        <w:rPr>
          <w:rFonts w:ascii="Times New Roman" w:cs="Times New Roman" w:hAnsi="Times New Roman"/>
        </w:rPr>
      </w:pPr>
    </w:p>
    <w:p w14:paraId="0000004B">
      <w:pPr>
        <w:jc w:val="right"/>
        <w:rPr>
          <w:rFonts w:ascii="Times New Roman" w:cs="Times New Roman" w:hAnsi="Times New Roman"/>
        </w:rPr>
      </w:pPr>
    </w:p>
    <w:p w14:paraId="0000004C">
      <w:pPr>
        <w:jc w:val="right"/>
        <w:rPr>
          <w:rFonts w:ascii="Times New Roman" w:cs="Times New Roman" w:hAnsi="Times New Roman"/>
        </w:rPr>
      </w:pPr>
    </w:p>
    <w:p w14:paraId="0000004D">
      <w:pPr>
        <w:jc w:val="right"/>
        <w:rPr>
          <w:rFonts w:ascii="Times New Roman" w:cs="Times New Roman" w:hAnsi="Times New Roman"/>
        </w:rPr>
      </w:pPr>
    </w:p>
    <w:p w14:paraId="0000004E">
      <w:pPr>
        <w:jc w:val="right"/>
        <w:rPr>
          <w:rFonts w:ascii="Times New Roman" w:cs="Times New Roman" w:hAnsi="Times New Roman"/>
        </w:rPr>
      </w:pPr>
    </w:p>
    <w:p w14:paraId="0000004F">
      <w:pPr>
        <w:jc w:val="right"/>
        <w:rPr>
          <w:rFonts w:ascii="Times New Roman" w:cs="Times New Roman" w:hAnsi="Times New Roman"/>
        </w:rPr>
      </w:pPr>
    </w:p>
    <w:p w14:paraId="00000050">
      <w:pPr>
        <w:jc w:val="right"/>
        <w:rPr>
          <w:rFonts w:ascii="Times New Roman" w:cs="Times New Roman" w:hAnsi="Times New Roman"/>
        </w:rPr>
      </w:pPr>
    </w:p>
    <w:p w14:paraId="00000051">
      <w:pPr>
        <w:jc w:val="right"/>
        <w:rPr/>
      </w:pPr>
    </w:p>
    <w:p w14:paraId="00000052">
      <w:pPr>
        <w:jc w:val="right"/>
        <w:rPr/>
      </w:pPr>
    </w:p>
    <w:p w14:paraId="00000053">
      <w:pPr>
        <w:jc w:val="right"/>
        <w:rPr/>
      </w:pPr>
    </w:p>
    <w:p w14:paraId="00000054">
      <w:pPr>
        <w:jc w:val="right"/>
        <w:rPr/>
      </w:pPr>
    </w:p>
    <w:p w14:paraId="00000055">
      <w:pPr>
        <w:pStyle w:val="ConsPlusNormal"/>
        <w:tabs>
          <w:tab w:val="left" w:pos="284"/>
        </w:tabs>
        <w:jc w:val="right"/>
        <w:rPr/>
        <w:sectPr>
          <w:pgSz w:w="11906" w:h="16838"/>
          <w:pgMar w:top="426" w:right="851" w:bottom="1134" w:left="1701" w:header="709" w:footer="709" w:gutter="0"/>
          <w:cols w:space="708"/>
        </w:sectPr>
      </w:pPr>
      <w:r>
        <w:t>
</w:t>
      </w:r>
    </w:p>
    <w:p w14:paraId="00000056">
      <w:pPr>
        <w:pStyle w:val="ConsPlusNormal"/>
        <w:tabs>
          <w:tab w:val="left" w:pos="284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14:paraId="00000057">
      <w:pPr>
        <w:widowControl w:val="off"/>
        <w:tabs>
          <w:tab w:val="left" w:pos="284"/>
        </w:tabs>
        <w:spacing w:line="240" w:lineRule="auto"/>
        <w:jc w:val="right"/>
        <w:rPr>
          <w:rFonts w:ascii="Times New Roman" w:cs="Times New Roman" w:hAnsi="Times New Roman"/>
          <w:bCs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к Положению о </w:t>
      </w:r>
      <w:r>
        <w:rPr>
          <w:rFonts w:ascii="Times New Roman" w:cs="Times New Roman" w:hAnsi="Times New Roman"/>
          <w:sz w:val="20"/>
          <w:szCs w:val="20"/>
        </w:rPr>
        <w:t xml:space="preserve">порядке </w:t>
      </w:r>
      <w:r>
        <w:rPr>
          <w:rFonts w:ascii="Times New Roman" w:cs="Times New Roman" w:hAnsi="Times New Roman"/>
          <w:bCs/>
          <w:sz w:val="20"/>
          <w:szCs w:val="20"/>
        </w:rPr>
        <w:t xml:space="preserve">использования </w:t>
      </w:r>
      <w:r>
        <w:rPr>
          <w:rFonts w:ascii="Times New Roman" w:cs="Times New Roman" w:hAnsi="Times New Roman"/>
          <w:bCs/>
          <w:sz w:val="20"/>
          <w:szCs w:val="20"/>
        </w:rPr>
        <w:t>бюджетных</w:t>
      </w:r>
      <w:r>
        <w:rPr>
          <w:rFonts w:ascii="Times New Roman" w:cs="Times New Roman" w:hAnsi="Times New Roman"/>
          <w:bCs/>
          <w:sz w:val="20"/>
          <w:szCs w:val="20"/>
        </w:rPr>
        <w:t xml:space="preserve"> </w:t>
      </w:r>
    </w:p>
    <w:p w14:paraId="00000058">
      <w:pPr>
        <w:widowControl w:val="off"/>
        <w:tabs>
          <w:tab w:val="left" w:pos="284"/>
        </w:tabs>
        <w:spacing w:line="240" w:lineRule="auto"/>
        <w:jc w:val="right"/>
        <w:rPr>
          <w:rFonts w:ascii="Times New Roman" w:cs="Times New Roman" w:hAnsi="Times New Roman"/>
          <w:i/>
          <w:sz w:val="20"/>
          <w:szCs w:val="20"/>
        </w:rPr>
      </w:pPr>
      <w:r>
        <w:rPr>
          <w:rFonts w:ascii="Times New Roman" w:cs="Times New Roman" w:hAnsi="Times New Roman"/>
          <w:bCs/>
          <w:sz w:val="20"/>
          <w:szCs w:val="20"/>
        </w:rPr>
        <w:t>ассигнований резервного фонда администрации</w:t>
      </w:r>
      <w:r>
        <w:rPr>
          <w:rFonts w:ascii="Times New Roman" w:cs="Times New Roman" w:hAnsi="Times New Roman"/>
          <w:i/>
          <w:sz w:val="20"/>
          <w:szCs w:val="20"/>
        </w:rPr>
        <w:t xml:space="preserve"> </w:t>
      </w:r>
    </w:p>
    <w:p w14:paraId="00000059">
      <w:pPr>
        <w:widowControl w:val="off"/>
        <w:tabs>
          <w:tab w:val="left" w:pos="284"/>
        </w:tabs>
        <w:spacing w:line="240" w:lineRule="auto"/>
        <w:jc w:val="right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 сельского поселения </w:t>
      </w:r>
      <w:r>
        <w:rPr>
          <w:rFonts w:ascii="Times New Roman" w:cs="Times New Roman" w:hAnsi="Times New Roman"/>
          <w:sz w:val="20"/>
          <w:szCs w:val="20"/>
        </w:rPr>
        <w:t>Псынабо</w:t>
      </w:r>
    </w:p>
    <w:p w14:paraId="0000005A">
      <w:pPr>
        <w:widowControl w:val="off"/>
        <w:tabs>
          <w:tab w:val="left" w:pos="284"/>
        </w:tabs>
        <w:spacing w:line="240" w:lineRule="auto"/>
        <w:jc w:val="both"/>
        <w:rPr>
          <w:rFonts w:ascii="Times New Roman" w:cs="Times New Roman" w:hAnsi="Times New Roman"/>
          <w:sz w:val="20"/>
          <w:szCs w:val="20"/>
        </w:rPr>
      </w:pPr>
      <w:bookmarkStart w:id="1" w:name="Par123"/>
      <w:bookmarkEnd w:id="1"/>
    </w:p>
    <w:p w14:paraId="0000005B">
      <w:pPr>
        <w:tabs>
          <w:tab w:val="left" w:pos="284"/>
        </w:tabs>
        <w:spacing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ОТЧЕТ</w:t>
      </w:r>
    </w:p>
    <w:p w14:paraId="0000005C">
      <w:pPr>
        <w:tabs>
          <w:tab w:val="left" w:pos="284"/>
        </w:tabs>
        <w:spacing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получателя бюджетных ассигнований резервного фонда об использовании бюджетных ассигнований резервного фонда.</w:t>
      </w:r>
    </w:p>
    <w:p w14:paraId="0000005D">
      <w:pPr>
        <w:tabs>
          <w:tab w:val="left" w:pos="284"/>
        </w:tabs>
        <w:spacing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_____________________________________________________________</w:t>
      </w:r>
    </w:p>
    <w:p w14:paraId="0000005E">
      <w:pPr>
        <w:tabs>
          <w:tab w:val="left" w:pos="284"/>
        </w:tabs>
        <w:spacing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>(наименование получателя бюджетных средств)</w:t>
      </w:r>
    </w:p>
    <w:p w14:paraId="0000005F">
      <w:pPr>
        <w:tabs>
          <w:tab w:val="left" w:pos="284"/>
        </w:tabs>
        <w:spacing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t xml:space="preserve">по состоянию </w:t>
      </w:r>
      <w:r>
        <w:rPr>
          <w:rFonts w:ascii="Times New Roman" w:cs="Times New Roman" w:hAnsi="Times New Roman"/>
          <w:sz w:val="20"/>
          <w:szCs w:val="20"/>
        </w:rPr>
        <w:t>на</w:t>
      </w:r>
      <w:r>
        <w:rPr>
          <w:rFonts w:ascii="Times New Roman" w:cs="Times New Roman" w:hAnsi="Times New Roman"/>
          <w:sz w:val="20"/>
          <w:szCs w:val="20"/>
        </w:rPr>
        <w:t xml:space="preserve"> </w:t>
      </w:r>
      <w:r>
        <w:rPr>
          <w:rFonts w:ascii="Times New Roman" w:cs="Times New Roman" w:hAnsi="Times New Roman"/>
          <w:sz w:val="20"/>
          <w:szCs w:val="20"/>
        </w:rPr>
        <w:t>____________________</w:t>
      </w:r>
    </w:p>
    <w:tbl>
      <w:tblPr>
        <w:tblpPr w:leftFromText="180" w:rightFromText="180" w:vertAnchor="text" w:tblpY="80"/>
        <w:tblW w:w="146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2410"/>
        <w:gridCol w:w="1701"/>
        <w:gridCol w:w="1701"/>
        <w:gridCol w:w="1134"/>
        <w:gridCol w:w="2268"/>
        <w:gridCol w:w="1418"/>
        <w:gridCol w:w="1275"/>
        <w:gridCol w:w="1985"/>
      </w:tblGrid>
      <w:tr>
        <w:trPr/>
        <w:tc>
          <w:tcPr>
            <w:cnfStyle w:val="101000000000"/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0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 xml:space="preserve">N </w:t>
            </w: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/</w:t>
            </w: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п</w:t>
            </w:r>
          </w:p>
        </w:tc>
        <w:tc>
          <w:tcPr>
            <w:cnfStyle w:val="100000000000"/>
            <w:tcW w:w="2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1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Основание выделения средств (№ и дата распоряжения о выделении бюджетных ассигнований)</w:t>
            </w:r>
          </w:p>
        </w:tc>
        <w:tc>
          <w:tcPr>
            <w:cnfStyle w:val="100000000000"/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2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Цель выделения</w:t>
            </w:r>
          </w:p>
        </w:tc>
        <w:tc>
          <w:tcPr>
            <w:cnfStyle w:val="100000000000"/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3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Сумма по основанию выделения средств</w:t>
            </w:r>
          </w:p>
        </w:tc>
        <w:tc>
          <w:tcPr>
            <w:cnfStyle w:val="100000000000"/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4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Кассовый расход</w:t>
            </w:r>
          </w:p>
        </w:tc>
        <w:tc>
          <w:tcPr>
            <w:cnfStyle w:val="100000000000"/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5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№ и дата муниципального контракта, договора</w:t>
            </w:r>
          </w:p>
        </w:tc>
        <w:tc>
          <w:tcPr>
            <w:cnfStyle w:val="100000000000"/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6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Остаток неиспользованных средств</w:t>
            </w:r>
          </w:p>
        </w:tc>
        <w:tc>
          <w:tcPr>
            <w:cnfStyle w:val="100000000000"/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7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 xml:space="preserve">Примечание </w:t>
            </w:r>
            <w:r>
              <w:rPr>
                <w:rStyle w:val="Hyperlink"/>
                <w:rFonts w:ascii="Times New Roman" w:cs="Times New Roman" w:hAnsi="Times New Roman"/>
                <w:sz w:val="16"/>
                <w:szCs w:val="16"/>
                <w:lang w:eastAsia="en-US"/>
              </w:rPr>
              <w:fldChar w:fldCharType="begin"/>
            </w:r>
            <w:r>
              <w:rPr>
                <w:rStyle w:val="Hyperlink"/>
                <w:rFonts w:ascii="Times New Roman" w:cs="Times New Roman" w:hAnsi="Times New Roman"/>
                <w:sz w:val="16"/>
                <w:szCs w:val="16"/>
                <w:lang w:eastAsia="en-US"/>
              </w:rPr>
              <w:instrText xml:space="preserve">HYPERLINK "file:///C:\Users\Администрация\AppData\Local\Microsoft\Windows\Temporary%20Internet%20Files\Content.IE5\H3KUQ1OU\Модельный%20МПА_о%20резервном%20фонде%2014.05.2018.doc" \l "Par30" </w:instrText>
            </w:r>
            <w:r>
              <w:rPr>
                <w:rStyle w:val="Hyperlink"/>
                <w:rFonts w:ascii="Times New Roman" w:cs="Times New Roman" w:hAnsi="Times New Roman"/>
                <w:sz w:val="16"/>
                <w:szCs w:val="16"/>
                <w:lang w:eastAsia="en-US"/>
              </w:rPr>
              <w:fldChar w:fldCharType="separate"/>
            </w:r>
            <w:r>
              <w:rPr>
                <w:rStyle w:val="Hyperlink"/>
                <w:rFonts w:ascii="Times New Roman" w:cs="Times New Roman" w:hAnsi="Times New Roman"/>
                <w:sz w:val="16"/>
                <w:szCs w:val="16"/>
                <w:lang w:eastAsia="en-US"/>
              </w:rPr>
              <w:t>&lt;*&gt;</w:t>
            </w: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fldChar w:fldCharType="end"/>
            </w:r>
          </w:p>
        </w:tc>
      </w:tr>
      <w:tr>
        <w:trPr/>
        <w:tc>
          <w:tcPr>
            <w:cnfStyle w:val="001000100000"/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8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cnfStyle w:val="000000100000"/>
            <w:tcW w:w="2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9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cnfStyle w:val="000000100000"/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A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cnfStyle w:val="000000100000"/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B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cnfStyle w:val="00000010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C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Сумма</w:t>
            </w:r>
          </w:p>
        </w:tc>
        <w:tc>
          <w:tcPr>
            <w:cnfStyle w:val="000000100000"/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D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cs="Times New Roman" w:hAnsi="Times New Roman"/>
                <w:sz w:val="16"/>
                <w:szCs w:val="16"/>
                <w:lang w:eastAsia="en-US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cnfStyle w:val="000000100000"/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E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cnfStyle w:val="000000100000"/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6F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cnfStyle w:val="000000100000"/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0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16"/>
                <w:szCs w:val="16"/>
                <w:lang w:eastAsia="en-US"/>
              </w:rPr>
            </w:pPr>
          </w:p>
        </w:tc>
      </w:tr>
      <w:tr>
        <w:trPr/>
        <w:tc>
          <w:tcPr>
            <w:cnfStyle w:val="001000010000"/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1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2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3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4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5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6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7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8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cnfStyle w:val="000000010000"/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9">
            <w:pPr>
              <w:tabs>
                <w:tab w:val="left" w:pos="284"/>
              </w:tabs>
              <w:jc w:val="center"/>
              <w:rPr>
                <w:rFonts w:ascii="Times New Roman" w:cs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14:paraId="0000007A">
      <w:pPr>
        <w:tabs>
          <w:tab w:val="left" w:pos="284"/>
        </w:tabs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руб.</w:t>
      </w:r>
    </w:p>
    <w:p w14:paraId="0000007B">
      <w:pPr>
        <w:tabs>
          <w:tab w:val="left" w:pos="284"/>
        </w:tabs>
        <w:jc w:val="both"/>
        <w:rPr>
          <w:rFonts w:ascii="Times New Roman" w:cs="Times New Roman" w:hAnsi="Times New Roman"/>
          <w:sz w:val="24"/>
          <w:szCs w:val="24"/>
        </w:rPr>
      </w:pPr>
    </w:p>
    <w:p w14:paraId="0000007C">
      <w:pPr>
        <w:tabs>
          <w:tab w:val="left" w:pos="284"/>
        </w:tabs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7D">
      <w:pPr>
        <w:tabs>
          <w:tab w:val="left" w:pos="284"/>
        </w:tabs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7E">
      <w:pPr>
        <w:tabs>
          <w:tab w:val="left" w:pos="284"/>
        </w:tabs>
        <w:ind w:firstLine="540"/>
        <w:jc w:val="both"/>
        <w:rPr>
          <w:rFonts w:ascii="Times New Roman" w:cs="Times New Roman" w:hAnsi="Times New Roman"/>
          <w:sz w:val="24"/>
          <w:szCs w:val="24"/>
        </w:rPr>
      </w:pPr>
    </w:p>
    <w:p w14:paraId="0000007F">
      <w:pPr>
        <w:tabs>
          <w:tab w:val="left" w:pos="284"/>
        </w:tabs>
        <w:spacing w:before="200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bookmarkStart w:id="2" w:name="Par30"/>
      <w:bookmarkEnd w:id="2"/>
      <w:r>
        <w:rPr>
          <w:rFonts w:ascii="Times New Roman" w:cs="Times New Roman" w:hAnsi="Times New Roman"/>
          <w:sz w:val="24"/>
          <w:szCs w:val="24"/>
        </w:rPr>
        <w:t>&lt;</w:t>
      </w:r>
      <w:r>
        <w:rPr>
          <w:rFonts w:ascii="Times New Roman" w:cs="Times New Roman" w:hAnsi="Times New Roman"/>
          <w:sz w:val="24"/>
          <w:szCs w:val="24"/>
        </w:rPr>
        <w:t>*&gt; В случае неполного расходования средств резервного фонда указывается причина, дата возврата неиспользованных средств и пр.</w:t>
      </w:r>
    </w:p>
    <w:tbl>
      <w:tblPr>
        <w:tblW w:w="0" w:type="auto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</w:tblBorders>
        <w:tblCellMar>
          <w:left w:w="0" w:type="dxa"/>
          <w:right w:w="0" w:type="dxa"/>
        </w:tblCellMar>
        <w:tblLook w:val="04A0"/>
      </w:tblPr>
      <w:tblGrid>
        <w:gridCol w:w="8155"/>
        <w:gridCol w:w="567"/>
        <w:gridCol w:w="1171"/>
        <w:gridCol w:w="993"/>
        <w:gridCol w:w="2678"/>
      </w:tblGrid>
      <w:tr>
        <w:trPr>
          <w:trHeight w:val="404"/>
        </w:trPr>
        <w:tc>
          <w:tcPr>
            <w:cnfStyle w:val="101000000000"/>
            <w:tcW w:w="815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0">
            <w:pPr>
              <w:tabs>
                <w:tab w:val="left" w:pos="284"/>
              </w:tabs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Руководитель  получателя средств резервного фонда</w:t>
            </w:r>
          </w:p>
        </w:tc>
        <w:tc>
          <w:tcPr>
            <w:cnfStyle w:val="100000000000"/>
            <w:tcW w:w="567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1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cnfStyle w:val="100000000000"/>
            <w:tcW w:w="1171" w:type="dxa"/>
            <w:tcBorders>
              <w:top w:val="single" w:color="dddddd" w:sz="6" w:space="0"/>
              <w:bottom w:val="single" w:color="auto" w:sz="4" w:space="0"/>
            </w:tcBorders>
          </w:tcPr>
          <w:p w14:paraId="00000082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100000000000"/>
            <w:tcW w:w="993" w:type="dxa"/>
          </w:tcPr>
          <w:p w14:paraId="00000083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100000000000"/>
            <w:tcW w:w="2678" w:type="dxa"/>
            <w:tcBorders>
              <w:top w:val="single" w:color="dddddd" w:sz="6" w:space="0"/>
              <w:bottom w:val="single" w:color="auto" w:sz="4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000084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241"/>
        </w:trPr>
        <w:tc>
          <w:tcPr>
            <w:cnfStyle w:val="001000100000"/>
            <w:tcW w:w="815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5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567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6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171" w:type="dxa"/>
            <w:tcBorders>
              <w:top w:val="single" w:color="auto" w:sz="4" w:space="0"/>
              <w:bottom w:val="nil" w:sz="4" w:space="0"/>
            </w:tcBorders>
          </w:tcPr>
          <w:p w14:paraId="00000087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cnfStyle w:val="000000100000"/>
            <w:tcW w:w="993" w:type="dxa"/>
            <w:tcBorders>
              <w:bottom w:val="nil" w:sz="4" w:space="0"/>
            </w:tcBorders>
          </w:tcPr>
          <w:p w14:paraId="00000088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2678" w:type="dxa"/>
            <w:tcBorders>
              <w:top w:val="single" w:color="auto" w:sz="4" w:space="0"/>
              <w:bottom w:val="nil" w:sz="4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9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(расшифровка подписи)</w:t>
            </w:r>
          </w:p>
        </w:tc>
      </w:tr>
      <w:tr>
        <w:trPr>
          <w:trHeight w:val="397"/>
        </w:trPr>
        <w:tc>
          <w:tcPr>
            <w:cnfStyle w:val="001000010000"/>
            <w:tcW w:w="8155" w:type="dxa"/>
            <w:tcBorders>
              <w:left w:val="single" w:color="dddddd" w:sz="6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A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Руководитель главного распорядителя  средств местного бюджета</w:t>
            </w:r>
          </w:p>
        </w:tc>
        <w:tc>
          <w:tcPr>
            <w:cnfStyle w:val="000000010000"/>
            <w:tcW w:w="567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B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cnfStyle w:val="000000010000"/>
            <w:tcW w:w="1171" w:type="dxa"/>
            <w:tcBorders>
              <w:top w:val="nil" w:sz="4" w:space="0"/>
            </w:tcBorders>
          </w:tcPr>
          <w:p w14:paraId="0000008C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993" w:type="dxa"/>
            <w:tcBorders>
              <w:top w:val="nil" w:sz="4" w:space="0"/>
            </w:tcBorders>
          </w:tcPr>
          <w:p w14:paraId="0000008D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2678" w:type="dxa"/>
            <w:tcBorders>
              <w:top w:val="nil" w:sz="4" w:space="0"/>
              <w:right w:val="single" w:color="dddddd" w:sz="6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E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8155" w:type="dxa"/>
            <w:tcBorders>
              <w:left w:val="single" w:color="dddddd" w:sz="6" w:space="0"/>
              <w:bottom w:val="single" w:color="dddddd" w:sz="6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8F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567" w:type="dxa"/>
            <w:tcBorders>
              <w:bottom w:val="single" w:color="dddddd" w:sz="6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90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171" w:type="dxa"/>
            <w:tcBorders>
              <w:top w:val="single" w:color="auto" w:sz="4" w:space="0"/>
              <w:bottom w:val="single" w:color="dddddd" w:sz="6" w:space="0"/>
            </w:tcBorders>
          </w:tcPr>
          <w:p w14:paraId="00000091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cnfStyle w:val="000000100000"/>
            <w:tcW w:w="993" w:type="dxa"/>
            <w:tcBorders>
              <w:bottom w:val="single" w:color="dddddd" w:sz="6" w:space="0"/>
            </w:tcBorders>
          </w:tcPr>
          <w:p w14:paraId="00000092">
            <w:pPr>
              <w:spacing w:after="15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2678" w:type="dxa"/>
            <w:tcBorders>
              <w:top w:val="single" w:color="auto" w:sz="4" w:space="0"/>
              <w:bottom w:val="single" w:color="dddddd" w:sz="6" w:space="0"/>
              <w:right w:val="single" w:color="dddddd" w:sz="6" w:space="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000093">
            <w:pPr>
              <w:spacing w:after="15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00000094">
      <w:pPr>
        <w:tabs>
          <w:tab w:val="left" w:pos="284"/>
        </w:tabs>
        <w:jc w:val="both"/>
        <w:rPr/>
        <w:sectPr>
          <w:pgSz w:w="16838" w:h="11906" w:orient="landscape"/>
          <w:pgMar w:top="568" w:right="425" w:bottom="851" w:left="1134" w:header="709" w:footer="709" w:gutter="0"/>
          <w:cols w:space="708"/>
        </w:sectPr>
      </w:pPr>
      <w:r>
        <w:rPr>
          <w:rFonts w:ascii="Times New Roman" w:cs="Times New Roman" w:hAnsi="Times New Roman"/>
          <w:sz w:val="24"/>
          <w:szCs w:val="24"/>
        </w:rPr>
        <w:t>Исполнитель (ФИО) тел.</w:t>
      </w:r>
    </w:p>
    <w:p w14:paraId="00000095">
      <w:pPr>
        <w:jc w:val="right"/>
        <w:rPr/>
      </w:pPr>
    </w:p>
    <w:p w14:paraId="00000096">
      <w:pPr>
        <w:jc w:val="right"/>
        <w:rPr/>
      </w:pPr>
    </w:p>
    <w:p w14:paraId="00000097">
      <w:pPr>
        <w:jc w:val="right"/>
        <w:rPr/>
      </w:pPr>
    </w:p>
    <w:p w14:paraId="00000098">
      <w:pPr>
        <w:pStyle w:val="Normal"/>
        <w:widowControl w:val="on"/>
        <w:jc w:val="right"/>
        <w:rPr>
          <w:rFonts w:ascii="Times New Roman CYR" w:cs="Times New Roman CYR" w:hAnsi="Times New Roman CYR" w:hint="default"/>
          <w:sz w:val="32"/>
          <w:szCs w:val="32"/>
        </w:rPr>
      </w:pPr>
    </w:p>
    <w:p w14:paraId="00000099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 А К Л Ю Ч Е Н И Е</w:t>
      </w:r>
    </w:p>
    <w:p w14:paraId="0000009A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об обнародовании муниципального пр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авового акта</w:t>
      </w:r>
    </w:p>
    <w:p w14:paraId="0000009B">
      <w:pPr>
        <w:pStyle w:val="BodyText2"/>
        <w:spacing w:after="0" w:line="240" w:lineRule="auto"/>
        <w:jc w:val="center"/>
        <w:rPr>
          <w:b w:val="off"/>
          <w:bCs w:val="off"/>
          <w:sz w:val="28"/>
          <w:szCs w:val="28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        Постановление МКУ «Мест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ной администрации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с.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Псынабо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 от 08.07.2024г. № 25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«</w:t>
      </w:r>
      <w:r>
        <w:rPr>
          <w:rFonts w:hint="default"/>
          <w:b/>
          <w:sz w:val="28"/>
          <w:szCs w:val="28"/>
        </w:rPr>
        <w:t xml:space="preserve"> </w:t>
      </w:r>
      <w:r>
        <w:rPr>
          <w:b w:val="off"/>
          <w:bCs w:val="off"/>
          <w:sz w:val="28"/>
          <w:szCs w:val="28"/>
        </w:rPr>
        <w:t>Об утверждении Положения о порядке использования</w:t>
      </w:r>
    </w:p>
    <w:p w14:paraId="0000009C">
      <w:pPr>
        <w:pStyle w:val="BodyText2"/>
        <w:spacing w:after="0" w:line="240" w:lineRule="auto"/>
        <w:jc w:val="center"/>
        <w:rPr>
          <w:b w:val="off"/>
          <w:bCs w:val="off"/>
          <w:sz w:val="28"/>
          <w:szCs w:val="28"/>
        </w:rPr>
      </w:pPr>
      <w:r>
        <w:rPr>
          <w:b w:val="off"/>
          <w:bCs w:val="off"/>
          <w:sz w:val="28"/>
          <w:szCs w:val="28"/>
        </w:rPr>
        <w:t>бюджетных ассигнований резервного фонда</w:t>
      </w:r>
    </w:p>
    <w:p w14:paraId="0000009D">
      <w:pPr>
        <w:pStyle w:val="BodyText2"/>
        <w:spacing w:after="0" w:line="240" w:lineRule="auto"/>
        <w:jc w:val="center"/>
        <w:rPr>
          <w:rFonts w:ascii="Times New Roman" w:cs="Times New Roman" w:eastAsia="Times New Roman" w:hAnsi="Times New Roman" w:hint="default"/>
          <w:b w:val="off"/>
          <w:bCs w:val="off"/>
          <w:color w:val="000000"/>
          <w:sz w:val="28"/>
          <w:szCs w:val="28"/>
          <w:lang w:eastAsia="ru-RU"/>
        </w:rPr>
      </w:pPr>
      <w:r>
        <w:rPr>
          <w:b w:val="off"/>
          <w:bCs w:val="off"/>
          <w:sz w:val="28"/>
          <w:szCs w:val="28"/>
        </w:rPr>
        <w:t>МКУ «</w:t>
      </w:r>
      <w:r>
        <w:rPr>
          <w:b w:val="off"/>
          <w:bCs w:val="off"/>
          <w:sz w:val="28"/>
          <w:szCs w:val="28"/>
        </w:rPr>
        <w:t>Местная</w:t>
      </w:r>
      <w:r>
        <w:rPr>
          <w:b w:val="off"/>
          <w:bCs w:val="off"/>
          <w:sz w:val="28"/>
          <w:szCs w:val="28"/>
        </w:rPr>
        <w:t xml:space="preserve"> администрации  сельского поселения  </w:t>
      </w:r>
      <w:r>
        <w:rPr>
          <w:b w:val="off"/>
          <w:bCs w:val="off"/>
          <w:sz w:val="28"/>
          <w:szCs w:val="28"/>
        </w:rPr>
        <w:t>Псынабо</w:t>
      </w:r>
      <w:r>
        <w:rPr>
          <w:b w:val="off"/>
          <w:bCs w:val="off"/>
          <w:sz w:val="28"/>
          <w:szCs w:val="28"/>
        </w:rPr>
        <w:t xml:space="preserve"> Урванского муниципального района КБР»</w:t>
      </w:r>
      <w:r>
        <w:rPr>
          <w:rFonts w:ascii="Times New Roman" w:cs="Times New Roman" w:eastAsia="Times New Roman" w:hAnsi="Times New Roman" w:hint="default"/>
          <w:b w:val="off"/>
          <w:bCs w:val="off"/>
          <w:color w:val="000000"/>
          <w:sz w:val="28"/>
          <w:szCs w:val="28"/>
          <w:lang w:eastAsia="ru-RU"/>
        </w:rPr>
        <w:t>»</w:t>
      </w:r>
    </w:p>
    <w:p w14:paraId="0000009E">
      <w:pPr>
        <w:pStyle w:val="Normal"/>
        <w:widowControl w:val="off"/>
        <w:spacing w:after="0" w:line="240" w:lineRule="auto"/>
        <w:jc w:val="center"/>
        <w:rPr>
          <w:rFonts w:ascii="Times New Roman" w:cs="Times New Roman" w:eastAsia="Times New Roman" w:hAnsi="Times New Roman" w:hint="default"/>
          <w:b w:val="off"/>
          <w:bCs w:val="off"/>
          <w:sz w:val="28"/>
          <w:szCs w:val="28"/>
          <w:lang w:eastAsia="ru-RU"/>
        </w:rPr>
      </w:pPr>
    </w:p>
    <w:p w14:paraId="0000009F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Период обнародования: с 08.07.2024г. по 08.08.2024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г.</w:t>
      </w:r>
    </w:p>
    <w:p w14:paraId="000000A0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</w:p>
    <w:tbl>
      <w:tblPr>
        <w:tblW w:w="0" w:type="auto"/>
        <w:tblLayout w:type="auto"/>
        <w:tblLook w:val="04A0"/>
      </w:tblPr>
      <w:tblGrid>
        <w:gridCol w:w="170"/>
        <w:gridCol w:w="2345"/>
        <w:gridCol w:w="5033"/>
        <w:gridCol w:w="1820"/>
      </w:tblGrid>
      <w:tr>
        <w:trPr>
          <w:cantSplit w:val="off"/>
        </w:trPr>
        <w:tc>
          <w:tcPr>
            <w:cnfStyle w:val="101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2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3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Адрес, наименование организации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4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Подпись, пе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чать</w:t>
            </w: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5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1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6">
            <w:pPr>
              <w:pStyle w:val="Normal"/>
              <w:spacing w:after="0" w:line="240" w:lineRule="auto"/>
              <w:jc w:val="both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Балкаров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Х.С.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д.22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A8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Псынабо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A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A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A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D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2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E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Теувова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И.Х.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д.24</w:t>
            </w:r>
          </w:p>
          <w:p w14:paraId="000000B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МКОУ СОШ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им.В.Х.Кагазежева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сынабо</w:t>
            </w:r>
          </w:p>
          <w:p w14:paraId="000000B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4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6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Индарокова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А.Х.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д.26</w:t>
            </w:r>
          </w:p>
          <w:p w14:paraId="000000B8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МКУК «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Псынабская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сельская библиотека»</w:t>
            </w:r>
          </w:p>
          <w:p w14:paraId="000000B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</w:tbl>
    <w:p w14:paraId="000000BD">
      <w:pPr>
        <w:pStyle w:val="Normal"/>
        <w:rPr>
          <w:rFonts w:ascii="Times New Roman" w:cs="Times New Roman" w:hAnsi="Times New Roman" w:hint="default"/>
          <w:sz w:val="28"/>
          <w:szCs w:val="28"/>
        </w:rPr>
      </w:pPr>
    </w:p>
    <w:p w14:paraId="000000BE">
      <w:pPr>
        <w:pStyle w:val="Normal"/>
        <w:ind w:firstLine="720"/>
        <w:jc w:val="both"/>
        <w:rPr>
          <w:rFonts w:ascii="Times New Roman" w:cs="Times New Roman" w:hAnsi="Times New Roman" w:hint="default"/>
          <w:b/>
          <w:sz w:val="28"/>
          <w:szCs w:val="28"/>
        </w:rPr>
      </w:pPr>
    </w:p>
    <w:p w14:paraId="000000BF">
      <w:pPr>
        <w:pStyle w:val="ConsPlusTitle"/>
        <w:jc w:val="center"/>
        <w:rPr>
          <w:rFonts w:ascii="Times New Roman" w:cs="Times New Roman" w:hAnsi="Times New Roman" w:hint="default"/>
          <w:sz w:val="28"/>
          <w:szCs w:val="28"/>
        </w:rPr>
      </w:pPr>
      <w:r>
        <w:rPr>
          <w:rFonts w:ascii="Times New Roman" w:cs="Times New Roman" w:eastAsia="Times New Roman" w:hAnsi="Times New Roman" w:hint="default"/>
          <w:b/>
          <w:bCs/>
          <w:sz w:val="28"/>
          <w:szCs w:val="28"/>
        </w:rPr>
        <w:t xml:space="preserve">        </w:t>
      </w:r>
    </w:p>
    <w:p w14:paraId="000000C0">
      <w:pPr>
        <w:jc w:val="right"/>
        <w:rPr/>
      </w:pPr>
    </w:p>
    <w:p w14:paraId="000000C1">
      <w:pPr>
        <w:jc w:val="right"/>
        <w:rPr/>
      </w:pPr>
    </w:p>
    <w:p w14:paraId="000000C2">
      <w:pPr>
        <w:spacing w:after="0" w:line="240" w:lineRule="auto"/>
        <w:jc w:val="right"/>
        <w:rPr>
          <w:rFonts w:ascii="Times New Roman" w:cs="Times New Roman" w:hAnsi="Times New Roman"/>
          <w:sz w:val="24"/>
          <w:szCs w:val="24"/>
        </w:rPr>
      </w:pPr>
    </w:p>
    <w:sectPr>
      <w:pgSz w:w="11906" w:h="16838"/>
      <w:pgMar w:top="426" w:right="851" w:bottom="1134" w:left="170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Times New Roman CYR">
    <w:panose1 w:val="02020603050405020304"/>
    <w:charset w:val="cc"/>
    <w:family w:val="roman"/>
    <w:pitch w:val="variable"/>
    <w:sig w:usb0="00000000" w:usb1="00000000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p w14:paraId="000000C3">
    <w:pPr>
      <w:pStyle w:val="Footer"/>
      <w:rPr/>
    </w:pP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1320" w:hanging="780"/>
      </w:pPr>
      <w:rPr>
        <w:rFonts w:ascii="Times New Roman" w:cs="Times New Roman" w:eastAsia="Times New Roman" w:hAnsi="Times New Roman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D7CCC"/>
    <w:rsid w:val="0001561E"/>
    <w:rsid w:val="00023C9C"/>
    <w:rsid w:val="00060D96"/>
    <w:rsid w:val="00096320"/>
    <w:rsid w:val="000D7F35"/>
    <w:rsid w:val="000E72D9"/>
    <w:rsid w:val="000F5526"/>
    <w:rsid w:val="001044D6"/>
    <w:rsid w:val="001349CE"/>
    <w:rsid w:val="00147069"/>
    <w:rsid w:val="001C5DA8"/>
    <w:rsid w:val="0020101D"/>
    <w:rsid w:val="00372F2A"/>
    <w:rsid w:val="003C5763"/>
    <w:rsid w:val="003D7084"/>
    <w:rsid w:val="00415C58"/>
    <w:rsid w:val="004F31E5"/>
    <w:rsid w:val="005231A2"/>
    <w:rsid w:val="005360AC"/>
    <w:rsid w:val="00576D23"/>
    <w:rsid w:val="00594AFC"/>
    <w:rsid w:val="005E0B3D"/>
    <w:rsid w:val="006057D4"/>
    <w:rsid w:val="00682AD1"/>
    <w:rsid w:val="006959FD"/>
    <w:rsid w:val="00695A3F"/>
    <w:rsid w:val="006B124F"/>
    <w:rsid w:val="00710173"/>
    <w:rsid w:val="00762496"/>
    <w:rsid w:val="00777D09"/>
    <w:rsid w:val="007930A4"/>
    <w:rsid w:val="007C1424"/>
    <w:rsid w:val="007D7D51"/>
    <w:rsid w:val="007E725D"/>
    <w:rsid w:val="00887338"/>
    <w:rsid w:val="008E429B"/>
    <w:rsid w:val="0093659D"/>
    <w:rsid w:val="009B323C"/>
    <w:rsid w:val="00A21B4F"/>
    <w:rsid w:val="00AF3384"/>
    <w:rsid w:val="00B06A7A"/>
    <w:rsid w:val="00B32710"/>
    <w:rsid w:val="00B52190"/>
    <w:rsid w:val="00BC67F6"/>
    <w:rsid w:val="00BD7CCC"/>
    <w:rsid w:val="00C37DEE"/>
    <w:rsid w:val="00CB09FD"/>
    <w:rsid w:val="00D4601E"/>
    <w:rsid w:val="00D46E73"/>
    <w:rsid w:val="00E415E1"/>
    <w:rsid w:val="00E43E16"/>
    <w:rsid w:val="00F05F1B"/>
    <w:rsid w:val="00F130B1"/>
    <w:rsid w:val="00F67656"/>
    <w:rsid w:val="00FB5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ListParagraph">
    <w:name w:val="List Paragraph"/>
    <w:basedOn w:val="Normal"/>
    <w:uiPriority w:val="34"/>
    <w:qFormat w:val="on"/>
    <w:pPr>
      <w:spacing w:after="160" w:line="259" w:lineRule="auto"/>
      <w:ind w:left="720"/>
      <w:contextualSpacing w:val="on"/>
    </w:pPr>
    <w:rPr>
      <w:rFonts w:eastAsiaTheme="minorHAnsi"/>
      <w:lang w:eastAsia="en-US"/>
    </w:rPr>
  </w:style>
  <w:style w:type="paragraph" w:customStyle="1" w:styleId="ConsPlusTitle">
    <w:name w:val="ConsPlusTitle"/>
    <w:uiPriority w:val="99"/>
    <w:pPr>
      <w:spacing w:after="0" w:line="240" w:lineRule="auto"/>
    </w:pPr>
    <w:rPr>
      <w:rFonts w:ascii="Arial" w:cs="Arial" w:eastAsia="Calibri" w:hAnsi="Arial"/>
      <w:b/>
      <w:bCs/>
      <w:sz w:val="20"/>
      <w:szCs w:val="20"/>
      <w:lang w:eastAsia="en-US"/>
    </w:rPr>
  </w:style>
  <w:style w:type="paragraph" w:customStyle="1" w:styleId="ConsPlusNormal">
    <w:name w:val="ConsPlusNormal"/>
    <w:link w:val="ConsPlusNormalЗнак"/>
    <w:uiPriority w:val="99"/>
    <w:pPr>
      <w:spacing w:after="0" w:line="240" w:lineRule="auto"/>
    </w:pPr>
    <w:rPr>
      <w:rFonts w:ascii="Times New Roman" w:cs="Times New Roman" w:eastAsia="Times New Roman" w:hAnsi="Times New Roman"/>
      <w:sz w:val="28"/>
      <w:szCs w:val="28"/>
      <w:lang w:eastAsia="en-US"/>
    </w:rPr>
  </w:style>
  <w:style w:type="paragraph" w:styleId="NoSpacing">
    <w:name w:val="No Spacing"/>
    <w:uiPriority w:val="1"/>
    <w:qFormat w:val="on"/>
    <w:pPr>
      <w:widowControl w:val="off"/>
      <w:spacing w:after="0" w:line="240" w:lineRule="auto"/>
      <w:jc w:val="right"/>
    </w:pPr>
    <w:rPr>
      <w:rFonts w:ascii="Times New Roman" w:cs="Times New Roman" w:eastAsia="Times New Roman" w:hAnsi="Times New Roman"/>
      <w:sz w:val="18"/>
      <w:szCs w:val="18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character" w:customStyle="1" w:styleId="ConsPlusNormalЗнак">
    <w:name w:val="ConsPlusNormal Знак"/>
    <w:link w:val="ConsPlusNormal"/>
    <w:uiPriority w:val="99"/>
    <w:rPr>
      <w:rFonts w:ascii="Times New Roman" w:cs="Times New Roman" w:eastAsia="Times New Roman" w:hAnsi="Times New Roman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semiHidden w:val="on"/>
    <w:unhideWhenUsed w:val="on"/>
    <w:rPr>
      <w:color w:val="0000ff"/>
      <w:u w:val="single"/>
    </w:rPr>
  </w:style>
  <w:style w:type="paragraph" w:styleId="BodyTextIndent">
    <w:name w:val="Body Text Indent"/>
    <w:basedOn w:val="Normal"/>
    <w:link w:val="ОсновнойтекстсотступомЗнак"/>
    <w:uiPriority w:val="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sz w:val="28"/>
      <w:szCs w:val="20"/>
    </w:rPr>
  </w:style>
  <w:style w:type="character" w:customStyle="1" w:styleId="ОсновнойтекстсотступомЗнак">
    <w:name w:val="Основной текст с отступом Знак"/>
    <w:basedOn w:val="DefaultParagraphFont"/>
    <w:link w:val="BodyTextIndent"/>
    <w:uiPriority w:val="99"/>
    <w:rPr>
      <w:rFonts w:ascii="Times New Roman" w:cs="Times New Roman" w:eastAsia="Times New Roman" w:hAnsi="Times New Roman"/>
      <w:sz w:val="28"/>
      <w:szCs w:val="20"/>
    </w:rPr>
  </w:style>
  <w:style w:type="paragraph" w:styleId="BodyText2">
    <w:name w:val="Body Text 2"/>
    <w:basedOn w:val="Normal"/>
    <w:link w:val="Основнойтекст2Знак"/>
    <w:uiPriority w:val="99"/>
    <w:pPr>
      <w:spacing w:after="120" w:line="48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customStyle="1" w:styleId="Основнойтекст2Знак">
    <w:name w:val="Основной текст 2 Знак"/>
    <w:basedOn w:val="DefaultParagraphFont"/>
    <w:link w:val="BodyText2"/>
    <w:uiPriority w:val="99"/>
    <w:rPr>
      <w:rFonts w:ascii="Times New Roman" w:cs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НижнийколонтитулЗнак"/>
    <w:uiPriority w:val="99"/>
    <w:unhideWhenUsed w:val="on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rFonts w:ascii="Times New Roman" w:cs="Times New Roman" w:eastAsia="Times New Roman" w:hAnsi="Times New Roman"/>
      <w:sz w:val="24"/>
      <w:szCs w:val="24"/>
    </w:rPr>
  </w:style>
  <w:style w:type="paragraph" w:styleId="Bodytext">
    <w:name w:val="Body text"/>
    <w:aliases w:val="Основной текст"/>
    <w:basedOn w:val="Normal"/>
    <w:link w:val="ОсновнойтекстЗнак"/>
    <w:uiPriority w:val="0"/>
    <w:pPr>
      <w:spacing w:after="120"/>
    </w:pPr>
    <w:rPr>
      <w:rFonts w:hint="default"/>
    </w:rPr>
  </w:style>
  <w:style w:type="character" w:customStyle="1" w:styleId="ОсновнойтекстЗнак">
    <w:name w:val="Основной текст Знак"/>
    <w:link w:val="Bodytext"/>
    <w:uiPriority w:val="0"/>
    <w:rPr>
      <w:rFonts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4" Type="http://schemas.openxmlformats.org/officeDocument/2006/relationships/image" Target="media/image2.wmf"/><Relationship Id="rId15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Relationship Id="rId7" Type="http://schemas.openxmlformats.org/officeDocument/2006/relationships/hyperlink" Target="file:///C:\Users\&#1040;&#1076;&#1084;&#1080;&#1085;&#1080;&#1089;&#1090;&#1088;&#1072;&#1094;&#1080;&#1103;\AppData\Local\Microsoft\Windows\Temporary%20Internet%20Files\Content.IE5\H3KUQ1OU\&#1052;&#1086;&#1076;&#1077;&#1083;&#1100;&#1085;&#1099;&#1081;%20&#1052;&#1055;&#1040;_&#1086;%20&#1088;&#1077;&#1079;&#1077;&#1088;&#1074;&#1085;&#1086;&#1084;%20&#1092;&#1086;&#1085;&#1076;&#1077;%2014.05.2018.doc" TargetMode="External"/></Relationships>
</file>

<file path=word/_rels/foot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-user-</dc:creator>
  <cp:lastModifiedBy>ludmila</cp:lastModifiedBy>
</cp:coreProperties>
</file>