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2">
      <w:pPr>
        <w:tabs>
          <w:tab w:val="left" w:pos="3990"/>
          <w:tab w:val="left" w:pos="5655"/>
        </w:tabs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23316EA1-62E1-C9A6-839E3E36CA66" adj="10800" coordsize="21600,21600" style="position:absolute;width:180pt;height:36pt;margin-top:15.95pt;margin-left:288.8pt;rotation:0.000000;z-index:251656192;" fillcolor="#000000" strokecolor="#000000" o:spt="136">
            <v:stroke color="#000000" filltype="solid" joinstyle="round" linestyle="single" mitterlimit="800000" weight="1pt"/>
            <v:textpath string="КЪАБАРТЫ-МАЛКЪАР РЕСПУБЛИКАНЫ&#10;УРВАН РАЙОНУНУ&#10;ПСЫНАБО АДМИНИСТРАЦИЯСЫ&#10;" style="font-family:&quot;Arial&quot;;v-text-kern:t;;font-size:10pt" trim="t" fitshape="t"/>
            <w10:wrap/>
            <v:fill type="solid" color="#000000" opacity="1.000000"/>
            <o:lock/>
          </v:shape>
        </w:pict>
      </w:r>
      <w:r>
        <w:rPr>
          <w:rFonts w:ascii="Times New Roman" w:cs="Times New Roman" w:hAnsi="Times New Roman"/>
          <w:sz w:val="24"/>
          <w:szCs w:val="24"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63663A31-A422-0B6E-581CDFFC88AD" adj="10800" coordsize="21600,21600" style="position:absolute;width:180pt;height:36pt;margin-top:15.95pt;margin-left:-2.65pt;rotation:0.000000;z-index:251657216;" fillcolor="#000000" strokecolor="#000000" o:spt="136">
            <v:stroke color="#000000" filltype="solid" joinstyle="round" linestyle="single" mitterlimit="800000" weight="1pt"/>
            <v:textpath string="КЪЭБЭРДЕЙ-БАЛЪКЪЭР РЕСПУБЛИКЭМ&#10;АРУАН РАЙОНЫМ&#10;И ПСЫНАБЭ КЪУАЖЭ АДМИНИСТРАЦЭ&#10;" style="font-family:&quot;Arial&quot;;v-text-kern:t;;font-size:10pt" trim="t" fitshape="t"/>
            <w10:wrap/>
            <v:fill type="solid" color="#000000" opacity="1.000000"/>
            <o:lock/>
          </v:shape>
        </w:pict>
      </w:r>
      <w:r>
        <w:rPr>
          <w:rFonts w:ascii="Times New Roman" w:cs="Times New Roman" w:hAnsi="Times New Roman"/>
          <w:sz w:val="24"/>
          <w:szCs w:val="24"/>
        </w:rPr>
        <w:drawing xmlns:mc="http://schemas.openxmlformats.org/markup-compatibility/2006">
          <wp:inline distT="0" distB="0" distL="0" distR="0">
            <wp:extent cx="609600" cy="7048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14:paraId="00000003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4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eastAsia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0620C510-FA72-99E1-EE80F09E9200" adj="10710" coordsize="21600,21600" style="position:absolute;width:459pt;height:36pt;margin-top:6.9pt;margin-left:9.8pt;rotation:0.000000;z-index:251658240;" fillcolor="#000000" strokecolor="#000000" o:spt="136">
            <v:stroke color="#000000" filltype="solid" joinstyle="round" linestyle="single" mitterlimit="800000" weight="1pt"/>
            <v:textpath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 style="font-family:&quot;Arial&quot;;v-text-kern:t;font-style:bold;font-size:8pt" trim="t" fitshape="t"/>
            <w10:wrap/>
            <v:fill type="solid" color="#000000" opacity="1.000000"/>
            <o:lock/>
          </v:shape>
        </w:pict>
      </w:r>
    </w:p>
    <w:p w14:paraId="00000005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6">
      <w:pPr>
        <w:spacing w:after="0" w:line="240" w:lineRule="auto"/>
        <w:jc w:val="center"/>
        <w:rPr>
          <w:rFonts w:ascii="Times New Roman" w:cs="Times New Roman" w:hAnsi="Times New Roman"/>
          <w:sz w:val="24"/>
          <w:szCs w:val="24"/>
        </w:rPr>
      </w:pPr>
    </w:p>
    <w:p w14:paraId="00000007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</w:p>
    <w:p w14:paraId="00000008">
      <w:pPr>
        <w:spacing w:after="0" w:line="240" w:lineRule="auto"/>
        <w:jc w:val="center"/>
        <w:rPr>
          <w:rFonts w:ascii="Times New Roman" w:cs="Times New Roman" w:hAnsi="Times New Roman"/>
          <w:sz w:val="20"/>
          <w:szCs w:val="20"/>
        </w:rPr>
      </w:pPr>
      <w:r>
        <w:rPr>
          <w:lang w:eastAsia="en-US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9264" simplePos="0">
                <wp:simplePos x="0" y="0"/>
                <wp:positionH relativeFrom="column">
                  <wp:posOffset>124460</wp:posOffset>
                </wp:positionH>
                <wp:positionV relativeFrom="paragraph">
                  <wp:posOffset>120650</wp:posOffset>
                </wp:positionV>
                <wp:extent cx="6307455" cy="0"/>
                <wp:effectExtent l="0" t="0" r="0" b="1270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5" name=""/>
                      <wps:cNvSpPr/>
                      <wps:spPr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 cap="flat" cmpd="dbl" algn="ctr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F10F9A8-5D05-2EAF-016E4C895602" coordsize="21600,21600" style="position:absolute;width:10pt;height:10pt;mso-width-percent:0;mso-width-relative:page;mso-height-percent:0;mso-height-relative:page;margin-top:0pt;margin-left:0pt;mso-wrap-distance-left:9pt;mso-wrap-distance-right:9pt;mso-wrap-distance-top:0pt;mso-wrap-distance-bottom:0pt;rotation:0.000000;z-index:251659264;" strokecolor="#000000" o:spt="32" o:oned="t" path="m0,0 l21600,21600 e">
                <v:stroke color="#000000" filltype="solid" joinstyle="round" linestyle="thinthin" mitterlimit="800000" weight="1pt"/>
                <w10:wrap/>
                <v:fill type="solid"/>
                <o:lock/>
              </v:shape>
            </w:pict>
          </mc:Fallback>
        </mc:AlternateContent>
      </w:r>
    </w:p>
    <w:p w14:paraId="00000009">
      <w:pPr>
        <w:spacing w:after="0" w:line="240" w:lineRule="auto"/>
        <w:jc w:val="center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  <w:u w:val="single"/>
        </w:rPr>
        <w:t>ИНН0707006014</w:t>
      </w:r>
      <w:r>
        <w:rPr>
          <w:rFonts w:ascii="Times New Roman" w:cs="Times New Roman" w:hAnsi="Times New Roman"/>
          <w:b/>
          <w:u w:val="single"/>
        </w:rPr>
        <w:t xml:space="preserve">   КПП 070701001</w:t>
      </w:r>
      <w:r>
        <w:rPr>
          <w:rFonts w:ascii="Times New Roman" w:cs="Times New Roman" w:hAnsi="Times New Roman"/>
          <w:b/>
        </w:rPr>
        <w:t xml:space="preserve">                                                           </w:t>
      </w:r>
      <w:r>
        <w:rPr>
          <w:rFonts w:ascii="Times New Roman" w:cs="Times New Roman" w:hAnsi="Times New Roman"/>
          <w:b/>
          <w:lang w:val="en-US"/>
        </w:rPr>
        <w:t>e</w:t>
      </w:r>
      <w:r>
        <w:rPr>
          <w:rFonts w:ascii="Times New Roman" w:cs="Times New Roman" w:hAnsi="Times New Roman"/>
          <w:b/>
        </w:rPr>
        <w:t>-</w:t>
      </w:r>
      <w:r>
        <w:rPr>
          <w:rFonts w:ascii="Times New Roman" w:cs="Times New Roman" w:hAnsi="Times New Roman"/>
          <w:b/>
          <w:lang w:val="en-US"/>
        </w:rPr>
        <w:t>mail</w:t>
      </w:r>
      <w:r>
        <w:rPr>
          <w:rFonts w:ascii="Times New Roman" w:cs="Times New Roman" w:hAnsi="Times New Roman"/>
          <w:b/>
        </w:rPr>
        <w:t>:0707006014</w:t>
      </w:r>
      <w:r>
        <w:rPr>
          <w:rFonts w:ascii="Times New Roman" w:cs="Times New Roman" w:hAnsi="Times New Roman"/>
          <w:b/>
        </w:rPr>
        <w:t>@</w:t>
      </w:r>
      <w:r>
        <w:rPr>
          <w:rFonts w:ascii="Times New Roman" w:cs="Times New Roman" w:hAnsi="Times New Roman"/>
          <w:b/>
          <w:lang w:val="en-US"/>
        </w:rPr>
        <w:t>mail</w:t>
      </w:r>
      <w:r>
        <w:rPr>
          <w:rFonts w:ascii="Times New Roman" w:cs="Times New Roman" w:hAnsi="Times New Roman"/>
          <w:b/>
        </w:rPr>
        <w:t>.</w:t>
      </w:r>
      <w:r>
        <w:rPr>
          <w:rFonts w:ascii="Times New Roman" w:cs="Times New Roman" w:hAnsi="Times New Roman"/>
          <w:b/>
          <w:lang w:val="en-US"/>
        </w:rPr>
        <w:t>ru</w:t>
      </w:r>
    </w:p>
    <w:p w14:paraId="0000000A">
      <w:pPr>
        <w:spacing w:after="0" w:line="240" w:lineRule="auto"/>
        <w:rPr>
          <w:rFonts w:ascii="Times New Roman" w:cs="Times New Roman" w:hAnsi="Times New Roman"/>
          <w:b/>
          <w:sz w:val="20"/>
          <w:szCs w:val="20"/>
          <w:u w:val="single"/>
        </w:rPr>
      </w:pPr>
      <w:r>
        <w:rPr>
          <w:rFonts w:ascii="Times New Roman" w:cs="Times New Roman" w:hAnsi="Times New Roman"/>
          <w:b/>
          <w:u w:val="single"/>
        </w:rPr>
        <w:t xml:space="preserve">361319,с.п. </w:t>
      </w:r>
      <w:r>
        <w:rPr>
          <w:rFonts w:ascii="Times New Roman" w:cs="Times New Roman" w:hAnsi="Times New Roman"/>
          <w:b/>
          <w:u w:val="single"/>
        </w:rPr>
        <w:t>Псынабо</w:t>
      </w:r>
      <w:r>
        <w:rPr>
          <w:rFonts w:ascii="Times New Roman" w:cs="Times New Roman" w:hAnsi="Times New Roman"/>
          <w:b/>
          <w:u w:val="single"/>
        </w:rPr>
        <w:t xml:space="preserve">, </w:t>
      </w:r>
      <w:r>
        <w:rPr>
          <w:rFonts w:ascii="Times New Roman" w:cs="Times New Roman" w:hAnsi="Times New Roman"/>
          <w:b/>
          <w:u w:val="single"/>
        </w:rPr>
        <w:t>ул</w:t>
      </w:r>
      <w:r>
        <w:rPr>
          <w:rFonts w:ascii="Times New Roman" w:cs="Times New Roman" w:hAnsi="Times New Roman"/>
          <w:b/>
          <w:u w:val="single"/>
        </w:rPr>
        <w:t>.М</w:t>
      </w:r>
      <w:r>
        <w:rPr>
          <w:rFonts w:ascii="Times New Roman" w:cs="Times New Roman" w:hAnsi="Times New Roman"/>
          <w:b/>
          <w:u w:val="single"/>
        </w:rPr>
        <w:t>арии</w:t>
      </w:r>
      <w:r>
        <w:rPr>
          <w:rFonts w:ascii="Times New Roman" w:cs="Times New Roman" w:hAnsi="Times New Roman"/>
          <w:b/>
          <w:u w:val="single"/>
        </w:rPr>
        <w:t xml:space="preserve"> Шекихачевой</w:t>
      </w:r>
      <w:r>
        <w:rPr>
          <w:rFonts w:ascii="Times New Roman" w:cs="Times New Roman" w:hAnsi="Times New Roman"/>
          <w:b/>
          <w:u w:val="single"/>
        </w:rPr>
        <w:t>,</w:t>
      </w:r>
      <w:r>
        <w:rPr>
          <w:rFonts w:ascii="Times New Roman" w:cs="Times New Roman" w:hAnsi="Times New Roman"/>
          <w:b/>
          <w:u w:val="single"/>
        </w:rPr>
        <w:t>22</w:t>
      </w:r>
      <w:r>
        <w:rPr>
          <w:rFonts w:ascii="Times New Roman" w:cs="Times New Roman" w:hAnsi="Times New Roman"/>
          <w:b/>
        </w:rPr>
        <w:t xml:space="preserve">                                   </w:t>
      </w:r>
      <w:r>
        <w:rPr>
          <w:rFonts w:ascii="Times New Roman" w:cs="Times New Roman" w:hAnsi="Times New Roman"/>
          <w:b/>
        </w:rPr>
        <w:t xml:space="preserve">  </w:t>
      </w:r>
      <w:r>
        <w:rPr>
          <w:rFonts w:ascii="Times New Roman" w:cs="Times New Roman" w:hAnsi="Times New Roman"/>
          <w:b/>
        </w:rPr>
        <w:t xml:space="preserve">      </w:t>
      </w:r>
      <w:r>
        <w:rPr>
          <w:rFonts w:ascii="Times New Roman" w:cs="Times New Roman" w:hAnsi="Times New Roman"/>
          <w:b/>
          <w:sz w:val="20"/>
          <w:szCs w:val="20"/>
          <w:u w:val="single"/>
        </w:rPr>
        <w:t>тел</w:t>
      </w:r>
      <w:r>
        <w:rPr>
          <w:rFonts w:ascii="Times New Roman" w:cs="Times New Roman" w:hAnsi="Times New Roman"/>
          <w:b/>
          <w:sz w:val="20"/>
          <w:szCs w:val="20"/>
          <w:u w:val="single"/>
        </w:rPr>
        <w:t>:</w:t>
      </w:r>
      <w:r>
        <w:rPr>
          <w:rFonts w:ascii="Times New Roman" w:cs="Times New Roman" w:hAnsi="Times New Roman"/>
          <w:b/>
          <w:sz w:val="20"/>
          <w:szCs w:val="20"/>
          <w:u w:val="single"/>
        </w:rPr>
        <w:t xml:space="preserve"> 8 (86635) 4-08-03</w:t>
      </w:r>
    </w:p>
    <w:p w14:paraId="0000000B">
      <w:pPr>
        <w:tabs>
          <w:tab w:val="left" w:pos="3975"/>
        </w:tabs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0C">
      <w:pPr>
        <w:tabs>
          <w:tab w:val="left" w:pos="3975"/>
        </w:tabs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0D">
      <w:pPr>
        <w:tabs>
          <w:tab w:val="left" w:pos="3975"/>
        </w:tabs>
        <w:spacing w:after="0" w:line="240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cs="Times New Roman" w:hAnsi="Times New Roman"/>
          <w:b/>
          <w:sz w:val="24"/>
          <w:szCs w:val="24"/>
        </w:rPr>
        <w:t xml:space="preserve">    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b/>
          <w:sz w:val="24"/>
          <w:szCs w:val="24"/>
        </w:rPr>
        <w:t xml:space="preserve">    ПОСТАНОВЛЕНИЕ № 24</w:t>
      </w:r>
      <w:r>
        <w:rPr>
          <w:rFonts w:ascii="Times New Roman" w:cs="Times New Roman" w:hAnsi="Times New Roman"/>
          <w:b/>
          <w:sz w:val="24"/>
          <w:szCs w:val="24"/>
        </w:rPr>
        <w:t xml:space="preserve">                     </w:t>
      </w:r>
    </w:p>
    <w:p w14:paraId="0000000E">
      <w:pPr>
        <w:tabs>
          <w:tab w:val="left" w:pos="3975"/>
        </w:tabs>
        <w:spacing w:after="0" w:line="240" w:lineRule="auto"/>
        <w:rPr>
          <w:rFonts w:ascii="Times New Roman" w:cs="Times New Roman" w:hAnsi="Times New Roman"/>
          <w:b/>
          <w:sz w:val="24"/>
          <w:szCs w:val="24"/>
        </w:rPr>
      </w:pPr>
    </w:p>
    <w:p w14:paraId="0000000F">
      <w:pPr>
        <w:tabs>
          <w:tab w:val="left" w:pos="3975"/>
        </w:tabs>
        <w:spacing w:after="0" w:line="240" w:lineRule="auto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</w:rPr>
        <w:t xml:space="preserve">  08.07</w:t>
      </w:r>
      <w:r>
        <w:rPr>
          <w:rFonts w:ascii="Times New Roman" w:cs="Times New Roman" w:hAnsi="Times New Roman"/>
        </w:rPr>
        <w:t xml:space="preserve">.2024г.                                                   </w:t>
      </w:r>
      <w:r>
        <w:rPr>
          <w:rFonts w:ascii="Times New Roman" w:cs="Times New Roman" w:hAnsi="Times New Roman"/>
        </w:rPr>
        <w:t xml:space="preserve">                   </w:t>
      </w:r>
      <w:r>
        <w:rPr>
          <w:rFonts w:ascii="Times New Roman" w:cs="Times New Roman" w:hAnsi="Times New Roman"/>
        </w:rPr>
        <w:t xml:space="preserve">                                                       </w:t>
      </w:r>
      <w:r>
        <w:rPr>
          <w:rFonts w:ascii="Times New Roman" w:cs="Times New Roman" w:hAnsi="Times New Roman"/>
        </w:rPr>
        <w:t>с.п</w:t>
      </w:r>
      <w:r>
        <w:rPr>
          <w:rFonts w:ascii="Times New Roman" w:cs="Times New Roman" w:hAnsi="Times New Roman"/>
        </w:rPr>
        <w:t xml:space="preserve">. </w:t>
      </w:r>
      <w:r>
        <w:rPr>
          <w:rFonts w:ascii="Times New Roman" w:cs="Times New Roman" w:hAnsi="Times New Roman"/>
        </w:rPr>
        <w:t>Псынабо</w:t>
      </w:r>
    </w:p>
    <w:p w14:paraId="00000010">
      <w:pPr>
        <w:pStyle w:val="ConsPlusTitle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</w:t>
      </w:r>
    </w:p>
    <w:p w14:paraId="00000011">
      <w:pPr>
        <w:spacing w:after="0" w:line="240" w:lineRule="auto"/>
        <w:jc w:val="center"/>
        <w:rPr>
          <w:rFonts w:ascii="Times New Roman" w:cs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cs="Times New Roman" w:hAnsi="Times New Roman"/>
          <w:b/>
          <w:sz w:val="24"/>
          <w:szCs w:val="24"/>
        </w:rPr>
        <w:t xml:space="preserve">О ПОРЯДКЕ И УСЛОВИЯХ ЗАКЛЮЧЕНИЯ СОГЛАШЕНИЙ О ЗАЩИТЕ И ПООЩРЕНИИ КАПИТАЛОВЛОЖЕНИЙ СО СТОРОНЫ  МЕСТНОЙ АДМИНИСТРАЦИИ </w:t>
      </w:r>
      <w:r>
        <w:rPr>
          <w:rFonts w:ascii="Times New Roman" w:cs="Times New Roman" w:hAnsi="Times New Roman"/>
          <w:b/>
          <w:sz w:val="24"/>
          <w:szCs w:val="24"/>
        </w:rPr>
        <w:t xml:space="preserve">СЕЛЬСКОГО ПОСЕЛЕНИЯ ПСЫНАБО </w:t>
      </w:r>
      <w:r>
        <w:rPr>
          <w:rFonts w:ascii="Times New Roman" w:cs="Times New Roman" w:hAnsi="Times New Roman"/>
          <w:b/>
          <w:sz w:val="24"/>
          <w:szCs w:val="24"/>
        </w:rPr>
        <w:t>УРВАНСКОГО  УНИЦИПАЛЬНОГО РАЙОНА  КАБАРДИНО-БАЛКАРСКОЙ РЕСПУБЛИКИ</w:t>
      </w:r>
    </w:p>
    <w:p w14:paraId="00000012">
      <w:pPr>
        <w:spacing w:after="0" w:line="240" w:lineRule="auto"/>
        <w:jc w:val="center"/>
        <w:rPr>
          <w:sz w:val="24"/>
          <w:szCs w:val="24"/>
        </w:rPr>
      </w:pPr>
      <w:bookmarkEnd w:id="0"/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 w14:paraId="00000013">
      <w:pPr>
        <w:tabs>
          <w:tab w:val="left" w:pos="4116"/>
        </w:tabs>
        <w:spacing w:after="0" w:line="240" w:lineRule="auto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</w:t>
      </w:r>
      <w:r>
        <w:rPr>
          <w:rFonts w:ascii="Times New Roman" w:cs="Times New Roman" w:hAnsi="Times New Roman"/>
          <w:sz w:val="24"/>
          <w:szCs w:val="24"/>
        </w:rPr>
        <w:t>В соответствии с частью 8 статьи 4 Федерального закона от 1 апреля 2020 года № 69-ФЗ «О защите и поощрении капиталовложений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01.10.2020 № 1577 «Об утверждении Правил заключения, изменения, прекращения действия соглашений о защите и поощрении капиталовложений</w:t>
      </w:r>
      <w:r>
        <w:rPr>
          <w:rFonts w:ascii="Times New Roman" w:cs="Times New Roman" w:hAnsi="Times New Roman"/>
          <w:sz w:val="24"/>
          <w:szCs w:val="24"/>
        </w:rPr>
        <w:t>, ведения реестра соглашений о защите и поощрен</w:t>
      </w:r>
      <w:r>
        <w:rPr>
          <w:rFonts w:ascii="Times New Roman" w:cs="Times New Roman" w:hAnsi="Times New Roman"/>
          <w:sz w:val="24"/>
          <w:szCs w:val="24"/>
        </w:rPr>
        <w:t xml:space="preserve">ии капиталовложений», </w:t>
      </w:r>
      <w:r>
        <w:rPr>
          <w:rFonts w:ascii="Times New Roman" w:cs="Times New Roman" w:hAnsi="Times New Roman"/>
          <w:sz w:val="24"/>
          <w:szCs w:val="24"/>
        </w:rPr>
        <w:t xml:space="preserve">Уставом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 xml:space="preserve">местная администрация </w:t>
      </w:r>
      <w:r>
        <w:rPr>
          <w:rFonts w:ascii="Times New Roman" w:cs="Times New Roman" w:hAnsi="Times New Roman"/>
          <w:sz w:val="24"/>
          <w:szCs w:val="24"/>
        </w:rPr>
        <w:t>с.п.Псынабо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 муниципального района Кабардино-Балкарской Республики </w:t>
      </w:r>
    </w:p>
    <w:p w14:paraId="00000014">
      <w:pPr>
        <w:tabs>
          <w:tab w:val="left" w:pos="4116"/>
        </w:tabs>
        <w:spacing w:after="0" w:line="240" w:lineRule="auto"/>
        <w:jc w:val="both"/>
        <w:rPr>
          <w:rFonts w:ascii="Times New Roman" w:cs="Times New Roman" w:hAnsi="Times New Roman"/>
          <w:sz w:val="24"/>
          <w:szCs w:val="24"/>
        </w:rPr>
      </w:pPr>
    </w:p>
    <w:p w14:paraId="00000015">
      <w:pPr>
        <w:tabs>
          <w:tab w:val="left" w:pos="4116"/>
        </w:tabs>
        <w:spacing w:after="0" w:line="240" w:lineRule="auto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ПОСТАНОВЛЯЕТ:</w:t>
      </w:r>
    </w:p>
    <w:p w14:paraId="00000016">
      <w:pPr>
        <w:tabs>
          <w:tab w:val="left" w:pos="4116"/>
        </w:tabs>
        <w:spacing w:after="0" w:line="240" w:lineRule="auto"/>
        <w:jc w:val="center"/>
        <w:rPr>
          <w:rFonts w:ascii="Times New Roman" w:cs="Times New Roman" w:hAnsi="Times New Roman"/>
          <w:b/>
          <w:sz w:val="24"/>
          <w:szCs w:val="24"/>
        </w:rPr>
      </w:pPr>
    </w:p>
    <w:p w14:paraId="00000017">
      <w:pPr>
        <w:spacing w:after="0" w:line="240" w:lineRule="auto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 Утвердить Порядок и условия заключения соглашений о защите и поощрении капиталовложений со стороны местной администрации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 (прилагается).</w:t>
      </w:r>
    </w:p>
    <w:p w14:paraId="00000018">
      <w:pPr>
        <w:spacing w:after="0" w:line="240" w:lineRule="auto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 Настоящее постановление р</w:t>
      </w:r>
      <w:r>
        <w:rPr>
          <w:rFonts w:ascii="Times New Roman" w:cs="Times New Roman" w:hAnsi="Times New Roman"/>
          <w:sz w:val="24"/>
          <w:szCs w:val="24"/>
        </w:rPr>
        <w:t xml:space="preserve">азместить на официальном сайте местной администрации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19">
      <w:pPr>
        <w:spacing w:after="0" w:line="240" w:lineRule="auto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0000001A">
      <w:pPr>
        <w:spacing w:after="0" w:line="240" w:lineRule="auto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4. Контроль исполнения настоящего постановлени</w:t>
      </w:r>
      <w:r>
        <w:rPr>
          <w:rFonts w:ascii="Times New Roman" w:cs="Times New Roman" w:hAnsi="Times New Roman"/>
          <w:sz w:val="24"/>
          <w:szCs w:val="24"/>
        </w:rPr>
        <w:t>я возложить на начальника отдала учета и отчетности</w:t>
      </w:r>
      <w:r>
        <w:rPr>
          <w:rFonts w:ascii="Times New Roman" w:cs="Times New Roman" w:hAnsi="Times New Roman"/>
          <w:sz w:val="24"/>
          <w:szCs w:val="24"/>
        </w:rPr>
        <w:t xml:space="preserve"> местной администрации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</w:t>
      </w:r>
      <w:r>
        <w:rPr>
          <w:rFonts w:ascii="Times New Roman" w:cs="Times New Roman" w:hAnsi="Times New Roman"/>
          <w:sz w:val="24"/>
          <w:szCs w:val="24"/>
        </w:rPr>
        <w:t>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КБР   Солдатову М.М</w:t>
      </w:r>
      <w:r>
        <w:rPr>
          <w:rFonts w:ascii="Times New Roman" w:cs="Times New Roman" w:hAnsi="Times New Roman"/>
          <w:sz w:val="24"/>
          <w:szCs w:val="24"/>
        </w:rPr>
        <w:t>.</w:t>
      </w:r>
    </w:p>
    <w:p w14:paraId="0000001B">
      <w:pPr>
        <w:pStyle w:val="ConsPlusNormal"/>
        <w:rPr>
          <w:rFonts w:ascii="Times New Roman" w:cs="Times New Roman" w:hAnsi="Times New Roman"/>
          <w:sz w:val="24"/>
          <w:szCs w:val="24"/>
        </w:rPr>
      </w:pPr>
    </w:p>
    <w:p w14:paraId="0000001C">
      <w:pPr>
        <w:pStyle w:val="ConsPlusNormal"/>
        <w:rPr>
          <w:rFonts w:ascii="Times New Roman" w:cs="Times New Roman" w:hAnsi="Times New Roman"/>
          <w:sz w:val="24"/>
          <w:szCs w:val="24"/>
        </w:rPr>
      </w:pPr>
    </w:p>
    <w:p w14:paraId="0000001D">
      <w:pPr>
        <w:pStyle w:val="ConsPlusNormal"/>
        <w:rPr>
          <w:rFonts w:ascii="Times New Roman" w:cs="Times New Roman" w:hAnsi="Times New Roman"/>
          <w:sz w:val="24"/>
          <w:szCs w:val="24"/>
        </w:rPr>
      </w:pPr>
    </w:p>
    <w:p w14:paraId="0000001E">
      <w:pPr>
        <w:pStyle w:val="ConsPlusNormal"/>
        <w:rPr>
          <w:rFonts w:ascii="Times New Roman" w:cs="Times New Roman" w:hAnsi="Times New Roman"/>
          <w:sz w:val="24"/>
          <w:szCs w:val="24"/>
        </w:rPr>
      </w:pPr>
    </w:p>
    <w:p w14:paraId="0000001F">
      <w:pPr>
        <w:pStyle w:val="ConsPlusNormal"/>
        <w:rPr>
          <w:rFonts w:ascii="Times New Roman" w:cs="Times New Roman" w:hAnsi="Times New Roman"/>
          <w:sz w:val="24"/>
          <w:szCs w:val="24"/>
        </w:rPr>
      </w:pPr>
    </w:p>
    <w:p w14:paraId="00000020">
      <w:pPr>
        <w:pStyle w:val="ConsPlusNormal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Глава администрации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>Х.С.Балкаров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  <w:t xml:space="preserve"> </w:t>
      </w:r>
    </w:p>
    <w:p w14:paraId="00000021">
      <w:pPr>
        <w:pStyle w:val="Default"/>
        <w:rPr/>
      </w:pPr>
    </w:p>
    <w:p w14:paraId="00000022">
      <w:pPr>
        <w:pStyle w:val="Default"/>
        <w:rPr/>
      </w:pPr>
    </w:p>
    <w:p w14:paraId="00000023">
      <w:pPr>
        <w:spacing w:after="0" w:line="240" w:lineRule="atLeast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</w:rPr>
        <w:tab/>
      </w:r>
      <w:r>
        <w:rPr>
          <w:rFonts w:ascii="Times New Roman" w:cs="Times New Roman" w:hAnsi="Times New Roman"/>
          <w:sz w:val="24"/>
          <w:szCs w:val="24"/>
        </w:rPr>
        <w:t>Приложение</w:t>
      </w:r>
    </w:p>
    <w:p w14:paraId="00000024">
      <w:pPr>
        <w:spacing w:after="0" w:line="240" w:lineRule="atLeast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Утвержден</w:t>
      </w:r>
    </w:p>
    <w:p w14:paraId="00000025">
      <w:pPr>
        <w:spacing w:after="0" w:line="240" w:lineRule="atLeast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постановлением</w:t>
      </w:r>
    </w:p>
    <w:p w14:paraId="00000026">
      <w:pPr>
        <w:spacing w:after="0" w:line="240" w:lineRule="atLeast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местной администрации </w:t>
      </w:r>
    </w:p>
    <w:p w14:paraId="00000027">
      <w:pPr>
        <w:spacing w:after="0" w:line="240" w:lineRule="atLeast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Урванского муниципального района </w:t>
      </w:r>
    </w:p>
    <w:p w14:paraId="00000028">
      <w:pPr>
        <w:spacing w:after="0" w:line="240" w:lineRule="atLeast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Кабардино-Балкарской Республики</w:t>
      </w:r>
    </w:p>
    <w:p w14:paraId="00000029">
      <w:pPr>
        <w:spacing w:after="0" w:line="240" w:lineRule="atLeast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от </w:t>
      </w:r>
      <w:r>
        <w:rPr>
          <w:rFonts w:ascii="Times New Roman" w:cs="Times New Roman" w:hAnsi="Times New Roman"/>
          <w:sz w:val="24"/>
          <w:szCs w:val="24"/>
        </w:rPr>
        <w:t>08.07.2024</w:t>
      </w:r>
      <w:r>
        <w:rPr>
          <w:rFonts w:ascii="Times New Roman" w:cs="Times New Roman" w:hAnsi="Times New Roman"/>
          <w:sz w:val="24"/>
          <w:szCs w:val="24"/>
        </w:rPr>
        <w:t xml:space="preserve">г. </w:t>
      </w:r>
      <w:r>
        <w:rPr>
          <w:rFonts w:ascii="Times New Roman" w:cs="Times New Roman" w:hAnsi="Times New Roman"/>
          <w:sz w:val="24"/>
          <w:szCs w:val="24"/>
        </w:rPr>
        <w:t>№24</w:t>
      </w:r>
    </w:p>
    <w:p w14:paraId="0000002A">
      <w:pPr>
        <w:spacing w:after="0" w:line="240" w:lineRule="atLeast"/>
        <w:jc w:val="both"/>
        <w:rPr>
          <w:rFonts w:ascii="Times New Roman" w:cs="Times New Roman" w:hAnsi="Times New Roman"/>
          <w:sz w:val="24"/>
          <w:szCs w:val="24"/>
        </w:rPr>
      </w:pPr>
    </w:p>
    <w:p w14:paraId="0000002B">
      <w:pPr>
        <w:spacing w:after="0" w:line="240" w:lineRule="atLeast"/>
        <w:jc w:val="center"/>
        <w:rPr>
          <w:rFonts w:ascii="Times New Roman" w:cs="Times New Roman" w:hAnsi="Times New Roman"/>
          <w:sz w:val="24"/>
          <w:szCs w:val="24"/>
        </w:rPr>
      </w:pPr>
      <w:bookmarkStart w:id="1" w:name="P34"/>
      <w:bookmarkEnd w:id="1"/>
      <w:r>
        <w:rPr>
          <w:rFonts w:ascii="Times New Roman" w:cs="Times New Roman" w:hAnsi="Times New Roman"/>
          <w:b/>
          <w:sz w:val="24"/>
          <w:szCs w:val="24"/>
        </w:rPr>
        <w:t>П</w:t>
      </w:r>
      <w:r>
        <w:rPr>
          <w:rFonts w:ascii="Times New Roman" w:cs="Times New Roman" w:hAnsi="Times New Roman"/>
          <w:b/>
          <w:sz w:val="24"/>
          <w:szCs w:val="24"/>
        </w:rPr>
        <w:t>ОРЯДОК И УСЛОВИЯ</w:t>
      </w:r>
    </w:p>
    <w:p w14:paraId="0000002C">
      <w:pPr>
        <w:spacing w:after="0" w:line="240" w:lineRule="atLeast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ЗАКЛЮЧЕНИЯ СОГЛАШЕНИЙ О ЗАЩИТЕ И ПООЩРЕНИИ КАПИТАЛОВЛОЖЕНИИ СО СТОРОНЫ </w:t>
      </w:r>
    </w:p>
    <w:p w14:paraId="0000002D">
      <w:pPr>
        <w:spacing w:after="0" w:line="240" w:lineRule="atLeast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МЕСТНОЙ АДМИНИСТРАЦИИ </w:t>
      </w:r>
      <w:r>
        <w:rPr>
          <w:rFonts w:ascii="Times New Roman" w:cs="Times New Roman" w:hAnsi="Times New Roman"/>
          <w:b/>
          <w:sz w:val="24"/>
          <w:szCs w:val="24"/>
        </w:rPr>
        <w:t xml:space="preserve">С.П.ПСЫНАБО </w:t>
      </w:r>
      <w:r>
        <w:rPr>
          <w:rFonts w:ascii="Times New Roman" w:cs="Times New Roman" w:hAnsi="Times New Roman"/>
          <w:b/>
          <w:sz w:val="24"/>
          <w:szCs w:val="24"/>
        </w:rPr>
        <w:t>УРВАНСКОГО  МУНИЦИПАЛЬНОГО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РАЙОНА КАБАРДИНО-БАЛКАРСКОЙ РЕСПУБЛИКИ</w:t>
      </w:r>
    </w:p>
    <w:p w14:paraId="0000002E">
      <w:pPr>
        <w:spacing w:after="0" w:line="240" w:lineRule="atLeast"/>
        <w:jc w:val="both"/>
        <w:rPr>
          <w:rFonts w:ascii="Times New Roman" w:cs="Times New Roman" w:hAnsi="Times New Roman"/>
          <w:sz w:val="24"/>
          <w:szCs w:val="24"/>
        </w:rPr>
      </w:pPr>
    </w:p>
    <w:p w14:paraId="0000002F">
      <w:pPr>
        <w:spacing w:after="0" w:line="240" w:lineRule="atLeast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1. Общие положения</w:t>
      </w:r>
    </w:p>
    <w:p w14:paraId="00000030">
      <w:pPr>
        <w:spacing w:after="0" w:line="240" w:lineRule="atLeast"/>
        <w:jc w:val="both"/>
        <w:rPr>
          <w:rFonts w:ascii="Times New Roman" w:cs="Times New Roman" w:hAnsi="Times New Roman"/>
          <w:sz w:val="24"/>
          <w:szCs w:val="24"/>
        </w:rPr>
      </w:pPr>
    </w:p>
    <w:p w14:paraId="00000031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1.1. Настоящий Порядок устанавливает условия и порядок заключения соглашений о защите и поощрении капиталовложений со стороны</w:t>
      </w:r>
      <w:r>
        <w:rPr>
          <w:rFonts w:ascii="Times New Roman" w:cs="Times New Roman" w:hAnsi="Times New Roman"/>
          <w:sz w:val="24"/>
          <w:szCs w:val="24"/>
        </w:rPr>
        <w:t xml:space="preserve"> местной администрации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 (далее - Соглашение).</w:t>
      </w:r>
    </w:p>
    <w:p w14:paraId="00000032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1.2. Термины и определения, применяемые в настоящем Порядке, используются в значении, определенном Федеральным законом от 01.04.2020 № 69-ФЗ «О защите и поощрении капиталовложений в Российской Федерации» (далее - Закон № 69-ФЗ).</w:t>
      </w:r>
    </w:p>
    <w:p w14:paraId="00000033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1.3. К отношениям, возникающим в связи с заключением, изменением и расторжением Соглашения,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Законом № 69-ФЗ.</w:t>
      </w:r>
    </w:p>
    <w:p w14:paraId="00000034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1.4. Соглашение заключается не позднее 1 января 2030 года.</w:t>
      </w:r>
    </w:p>
    <w:p w14:paraId="00000035">
      <w:pPr>
        <w:spacing w:after="0" w:line="240" w:lineRule="atLeast"/>
        <w:jc w:val="both"/>
        <w:rPr>
          <w:rFonts w:ascii="Times New Roman" w:cs="Times New Roman" w:hAnsi="Times New Roman"/>
          <w:sz w:val="24"/>
          <w:szCs w:val="24"/>
        </w:rPr>
      </w:pPr>
    </w:p>
    <w:p w14:paraId="00000036">
      <w:pPr>
        <w:spacing w:after="0" w:line="240" w:lineRule="atLeast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Условия заключения Соглашения</w:t>
      </w:r>
    </w:p>
    <w:p w14:paraId="00000037">
      <w:pPr>
        <w:spacing w:after="0" w:line="240" w:lineRule="atLeast"/>
        <w:jc w:val="both"/>
        <w:rPr>
          <w:rFonts w:ascii="Times New Roman" w:cs="Times New Roman" w:hAnsi="Times New Roman"/>
          <w:sz w:val="24"/>
          <w:szCs w:val="24"/>
        </w:rPr>
      </w:pPr>
    </w:p>
    <w:p w14:paraId="00000038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2.1. Соглашение заключается на основании частной проектной инициативы или публичной проектной инициативы при соблюдении условий, установленных статьей 6 Закона № 69-ФЗ.</w:t>
      </w:r>
    </w:p>
    <w:p w14:paraId="00000039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2.2. Российское юридическое лицо, отвечающее признакам организации, реализующей проект (далее заявит</w:t>
      </w:r>
      <w:r>
        <w:rPr>
          <w:rFonts w:ascii="Times New Roman" w:cs="Times New Roman" w:hAnsi="Times New Roman"/>
          <w:sz w:val="24"/>
          <w:szCs w:val="24"/>
        </w:rPr>
        <w:t>ель) направляет в местную адми</w:t>
      </w:r>
      <w:r>
        <w:rPr>
          <w:rFonts w:ascii="Times New Roman" w:cs="Times New Roman" w:hAnsi="Times New Roman"/>
          <w:sz w:val="24"/>
          <w:szCs w:val="24"/>
        </w:rPr>
        <w:t xml:space="preserve">нистрацию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 заявление о предоставлении согласия на заключение (присоединение к) Соглашения по форме согласно приложению к настоящему Порядку (далее - заявление).</w:t>
      </w:r>
    </w:p>
    <w:p w14:paraId="0000003A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2.3. Заявитель должен соответствовать требованиям, установленным пунктом 4 постановления Правительства РФ от 01.10.2020 № 1577 «Об утверждении Правил заключения, изменения, прекращения действия соглашений о защите и поощрении капиталовложений, ведения реестра соглашений о защите и поощрении капиталовложений» (далее - постановлением Правительства РФ № 1577).</w:t>
      </w:r>
    </w:p>
    <w:p w14:paraId="0000003B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bookmarkStart w:id="2" w:name="P51"/>
      <w:bookmarkEnd w:id="2"/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.4. К заявлению прилагаются следующие документы и материалы:</w:t>
      </w:r>
    </w:p>
    <w:p w14:paraId="0000003C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>) справка об отсутствии у заявителя задолженности по уплате налогов, сборов, таможенных платежей, иных платежей, взимание которых возложено на таможенные органы, страховых взносов, пеней, штрафов, процентов;</w:t>
      </w:r>
    </w:p>
    <w:p w14:paraId="0000003D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>) копия документа, подтверждающего полномочия лица (лиц), имеющего право действовать от имени заявителя.</w:t>
      </w:r>
    </w:p>
    <w:p w14:paraId="0000003E">
      <w:pPr>
        <w:pStyle w:val="S_1"/>
        <w:shd w:val="clear" w:color="auto" w:fill="ffffff"/>
        <w:ind w:firstLine="851"/>
        <w:jc w:val="both"/>
        <w:rPr/>
      </w:pPr>
      <w:r>
        <w:t>3) проект соглашения о защите и поощрении капиталовложений, соответствующий настоящему Федеральному закону и утвержденной Правительством Российской Федерации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"/document/405299567/entry/12000"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типовой форме</w:t>
      </w:r>
      <w:r>
        <w:fldChar w:fldCharType="end"/>
      </w:r>
      <w:r>
        <w:t> и подписанный электронной подписью заявителя;</w:t>
      </w:r>
    </w:p>
    <w:p w14:paraId="0000003F">
      <w:pPr>
        <w:pStyle w:val="S_1"/>
        <w:shd w:val="clear" w:color="auto" w:fill="ffffff"/>
        <w:ind w:firstLine="851"/>
        <w:jc w:val="both"/>
        <w:rPr/>
      </w:pPr>
      <w:r>
        <w:t>4) заверенная копия договора, указанного в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"/document/73826576/entry/1411"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пункте 1 части 1 статьи 14</w:t>
      </w:r>
      <w:r>
        <w:fldChar w:fldCharType="end"/>
      </w:r>
      <w:r>
        <w:t>  ФЗ  №69-ФЗ, или справка, выданная кредитором по договору, указанному в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"/document/73826576/entry/1412"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пункте 2 части 1</w:t>
      </w:r>
      <w:r>
        <w:fldChar w:fldCharType="end"/>
      </w:r>
      <w:r>
        <w:t> указанной статьи, и содержащая условия такого договора о размере процентной ставки и (или) порядке ее определения (в случае, если заявитель ходатайствует о признании ранее заключенного договора связанным договором), или копия договора или соглашения, указанных</w:t>
      </w:r>
      <w:r>
        <w:t xml:space="preserve"> в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"/document/73826576/entry/1413"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абзаце первом</w:t>
      </w:r>
      <w:r>
        <w:fldChar w:fldCharType="end"/>
      </w:r>
      <w:r>
        <w:t> и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"/document/73826576/entry/14131"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подпункте "а" пункта 3 части 1 статьи 14</w:t>
      </w:r>
      <w:r>
        <w:fldChar w:fldCharType="end"/>
      </w:r>
      <w:r>
        <w:t> ФЗ   №69-ФЗ;</w:t>
      </w:r>
    </w:p>
    <w:p w14:paraId="00000040">
      <w:pPr>
        <w:pStyle w:val="S_1"/>
        <w:shd w:val="clear" w:color="auto" w:fill="ffffff"/>
        <w:ind w:firstLine="851"/>
        <w:jc w:val="both"/>
        <w:rPr/>
      </w:pPr>
      <w:r>
        <w:t>5)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"/document/405299567/entry/16000"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заявление</w:t>
      </w:r>
      <w:r>
        <w:fldChar w:fldCharType="end"/>
      </w:r>
      <w:r>
        <w:t> 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о защите и поощрении капиталовложений;</w:t>
      </w:r>
    </w:p>
    <w:p w14:paraId="00000041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6) копия договора, предусматривающего разграничение обязанностей и распределение затрат на создание (строительство) либо реконструкцию и (или) модернизацию объектов обеспечивающей и (или</w:t>
      </w:r>
      <w:r>
        <w:rPr>
          <w:rFonts w:ascii="Times New Roman" w:cs="Times New Roman" w:hAnsi="Times New Roman"/>
          <w:sz w:val="24"/>
          <w:szCs w:val="24"/>
        </w:rPr>
        <w:t>)с</w:t>
      </w:r>
      <w:r>
        <w:rPr>
          <w:rFonts w:ascii="Times New Roman" w:cs="Times New Roman" w:hAnsi="Times New Roman"/>
          <w:sz w:val="24"/>
          <w:szCs w:val="24"/>
        </w:rPr>
        <w:t>опутствующей инфраструктур (далее - договор о распределении затрат на объекты инфраструктуры), при наличии такого договора;</w:t>
      </w:r>
    </w:p>
    <w:p w14:paraId="00000042">
      <w:pPr>
        <w:pStyle w:val="S_1"/>
        <w:shd w:val="clear" w:color="auto" w:fill="ffffff"/>
        <w:ind w:firstLine="851"/>
        <w:jc w:val="both"/>
        <w:rPr/>
      </w:pPr>
      <w:r>
        <w:t>7)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"/document/405299567/entry/18000"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документы</w:t>
      </w:r>
      <w:r>
        <w:fldChar w:fldCharType="end"/>
      </w:r>
      <w:r>
        <w:t>, подтверждающие согласие уполномоченных органов местного самоуправления на заключение соглашения о защите и поощрении капиталовложений (в случае, если предполагается, что в качестве стороны (сторон) соглашения о защите и поощрении капиталовложений будет выступать одно или несколько муниципальных образований);</w:t>
      </w:r>
    </w:p>
    <w:p w14:paraId="00000043">
      <w:pPr>
        <w:pStyle w:val="S_1"/>
        <w:shd w:val="clear" w:color="auto" w:fill="ffffff"/>
        <w:ind w:firstLine="851"/>
        <w:jc w:val="both"/>
        <w:rPr/>
      </w:pPr>
      <w:r>
        <w:t xml:space="preserve">8) копии учредительных документов заявителя, информация о </w:t>
      </w:r>
      <w:r>
        <w:t>бенефициарных</w:t>
      </w:r>
      <w:r>
        <w:t xml:space="preserve"> владельцах организации, реализующей проект, которая предоставляется с учетом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"/document/12123862/entry/0"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Федерального закона</w:t>
      </w:r>
      <w:r>
        <w:fldChar w:fldCharType="end"/>
      </w:r>
      <w:r>
        <w:t> от 7 августа 2001 года N 115-ФЗ "О противодействии легализации (отмыванию) доходов, полученных преступным путем, и финансированию терроризма";</w:t>
      </w:r>
    </w:p>
    <w:p w14:paraId="00000044">
      <w:pPr>
        <w:pStyle w:val="S_1"/>
        <w:shd w:val="clear" w:color="auto" w:fill="ffffff"/>
        <w:ind w:firstLine="851"/>
        <w:jc w:val="both"/>
        <w:rPr/>
      </w:pPr>
      <w:r>
        <w:t>9) бизнес-план, включающий сведения о размере планируемых к осуществлению организацией, реализующей проект, капиталовложений и о предполагаемых сроках их внесения, 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"/document/73826576/entry/6011"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частью 1.1 статьи 6</w:t>
      </w:r>
      <w:r>
        <w:fldChar w:fldCharType="end"/>
      </w:r>
      <w:r>
        <w:t xml:space="preserve"> ФЗ  №69-ФЗ, указывается соответствующая сфера экономики), описание нового инвестиционного проекта, в том числе указание на территорию его</w:t>
      </w:r>
      <w:r>
        <w:t xml:space="preserve"> </w:t>
      </w:r>
      <w:r>
        <w:t>реализации, 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 сведения о прогнозируемой ежегодной выручке от реализации инвестиционного проекта с учетом положений части 1.1 статьи 6  ФЗ №69-ФЗ, о предполагаемых сроках осуществления данных мероприятий с указанием отчетных документов (если применимо), информацию о предполагаемых этапах реализации инвестиционного проекта</w:t>
      </w:r>
      <w:r>
        <w:t xml:space="preserve">, </w:t>
      </w:r>
      <w:r>
        <w:t>сроках получения разрешений и согласий, необходимых для реализации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проекта;</w:t>
      </w:r>
    </w:p>
    <w:p w14:paraId="00000045">
      <w:pPr>
        <w:pStyle w:val="S_1"/>
        <w:shd w:val="clear" w:color="auto" w:fill="ffffff"/>
        <w:ind w:firstLine="851"/>
        <w:jc w:val="both"/>
        <w:rPr/>
      </w:pPr>
      <w:r>
        <w:t>10) финансовая модель нового инвестиционного проекта;</w:t>
      </w:r>
    </w:p>
    <w:p w14:paraId="00000046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11) решение заявителя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</w:t>
      </w:r>
      <w:r>
        <w:rPr>
          <w:rFonts w:ascii="Times New Roman" w:cs="Times New Roman" w:hAnsi="Times New Roman"/>
          <w:sz w:val="24"/>
          <w:szCs w:val="24"/>
        </w:rPr>
        <w:t>геолого-разведочных</w:t>
      </w:r>
      <w:r>
        <w:rPr>
          <w:rFonts w:ascii="Times New Roman" w:cs="Times New Roman" w:hAnsi="Times New Roman"/>
          <w:sz w:val="24"/>
          <w:szCs w:val="24"/>
        </w:rPr>
        <w:t xml:space="preserve"> работ) в рамках инвестиционного проекта или решение заявителя об осуществлении инвестиционного </w:t>
      </w:r>
      <w:r>
        <w:rPr>
          <w:rFonts w:ascii="Times New Roman" w:cs="Times New Roman" w:hAnsi="Times New Roman"/>
          <w:sz w:val="24"/>
          <w:szCs w:val="24"/>
        </w:rPr>
        <w:t>проекта, в том числе об определении объема капитальных вложений (расходов), необходимых для его реализации;</w:t>
      </w:r>
    </w:p>
    <w:p w14:paraId="00000047">
      <w:pPr>
        <w:pStyle w:val="S_1"/>
        <w:shd w:val="clear" w:color="auto" w:fill="ffffff"/>
        <w:ind w:firstLine="851"/>
        <w:jc w:val="both"/>
        <w:rPr/>
      </w:pPr>
      <w:r>
        <w:t>12) разрешение на строительство в случаях, если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градостроительный план земельного участка, на котором в соответствии с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градостроительный план земельного участка и (или) проект планировки территории</w:t>
      </w:r>
      <w:r>
        <w:t>, за исключением случаев, при которых для создания (строительства) и (или) реконструкции линейного объекта в соответствии с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"/document/12138258/entry/3"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законодательством</w:t>
      </w:r>
      <w:r>
        <w:fldChar w:fldCharType="end"/>
      </w:r>
      <w:r>
        <w:t> о градостроительной деятельности не требуется подготовка документации по планировке территории;</w:t>
      </w:r>
    </w:p>
    <w:p w14:paraId="00000048">
      <w:pPr>
        <w:pStyle w:val="S_1"/>
        <w:shd w:val="clear" w:color="auto" w:fill="ffffff"/>
        <w:ind w:firstLine="851"/>
        <w:jc w:val="both"/>
        <w:rPr/>
      </w:pPr>
      <w:r>
        <w:t>13)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"/document/405299567/entry/17000"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перечень</w:t>
      </w:r>
      <w:r>
        <w:fldChar w:fldCharType="end"/>
      </w:r>
      <w:r>
        <w:t> 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"/document/73826576/entry/15"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статьей 15</w:t>
      </w:r>
      <w:r>
        <w:fldChar w:fldCharType="end"/>
      </w:r>
      <w:r>
        <w:t> ФЗ  №69-ФЗ, а также информация о планируемых форме, сроках и объеме возмещения этих затрат;</w:t>
      </w:r>
    </w:p>
    <w:p w14:paraId="00000049">
      <w:pPr>
        <w:pStyle w:val="S_1"/>
        <w:shd w:val="clear" w:color="auto" w:fill="ffffff"/>
        <w:ind w:firstLine="851"/>
        <w:jc w:val="both"/>
        <w:rPr/>
      </w:pPr>
      <w:r>
        <w:t>14)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"/document/405299567/entry/15000"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список</w:t>
      </w:r>
      <w:r>
        <w:fldChar w:fldCharType="end"/>
      </w:r>
      <w:r>
        <w:t> актов (решений), которые могут применяться с учетом особенностей, установленных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"/document/73826576/entry/9"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статьей 9</w:t>
      </w:r>
      <w:r>
        <w:fldChar w:fldCharType="end"/>
      </w:r>
      <w:r>
        <w:t xml:space="preserve"> ФЗ №69-ФЗ;</w:t>
      </w:r>
    </w:p>
    <w:p w14:paraId="0000004A">
      <w:pPr>
        <w:pStyle w:val="S_1"/>
        <w:shd w:val="clear" w:color="auto" w:fill="ffffff"/>
        <w:ind w:firstLine="851"/>
        <w:jc w:val="both"/>
        <w:rPr/>
      </w:pPr>
      <w:r>
        <w:t>15) документы, предусмотренные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"/document/73826576/entry/117"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частью 7 статьи 11</w:t>
      </w:r>
      <w:r>
        <w:fldChar w:fldCharType="end"/>
      </w:r>
      <w:r>
        <w:t> ФЗ  №69-ФЗ, в случае заключения дополнительного соглашения к соглашению о защите и поощрении капиталовложений;</w:t>
      </w:r>
    </w:p>
    <w:p w14:paraId="0000004B">
      <w:pPr>
        <w:pStyle w:val="S_1"/>
        <w:shd w:val="clear" w:color="auto" w:fill="ffffff"/>
        <w:ind w:firstLine="851"/>
        <w:jc w:val="both"/>
        <w:rPr/>
      </w:pPr>
      <w:r>
        <w:t>1</w:t>
      </w:r>
      <w:r>
        <w:t>6</w:t>
      </w:r>
      <w:r>
        <w:t>) документы, подтверждающие осуществление капитальных вложений, если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 </w:t>
      </w:r>
      <w:r>
        <w:rPr>
          <w:rStyle w:val="Hyperlink"/>
          <w:color w:val="auto"/>
        </w:rPr>
        <w:fldChar w:fldCharType="begin"/>
      </w:r>
      <w:r>
        <w:rPr>
          <w:rStyle w:val="Hyperlink"/>
          <w:color w:val="auto"/>
        </w:rPr>
        <w:instrText xml:space="preserve">HYPERLINK "https://internet.garant.ru/" \l "/document/73826576/entry/2161" </w:instrText>
      </w:r>
      <w:r>
        <w:rPr>
          <w:rStyle w:val="Hyperlink"/>
          <w:color w:val="auto"/>
        </w:rPr>
        <w:fldChar w:fldCharType="separate"/>
      </w:r>
      <w:r>
        <w:rPr>
          <w:rStyle w:val="Hyperlink"/>
          <w:color w:val="auto"/>
        </w:rPr>
        <w:t>подпунктом "а" пункта 6 части 1 статьи 2</w:t>
      </w:r>
      <w:r>
        <w:fldChar w:fldCharType="end"/>
      </w:r>
      <w:r>
        <w:t> ФЗ  №69-ФЗ;</w:t>
      </w:r>
    </w:p>
    <w:p w14:paraId="0000004C">
      <w:pPr>
        <w:pStyle w:val="S_1"/>
        <w:shd w:val="clear" w:color="auto" w:fill="ffffff"/>
        <w:ind w:firstLine="851"/>
        <w:jc w:val="both"/>
        <w:rPr/>
      </w:pPr>
      <w:r>
        <w:t>1</w:t>
      </w:r>
      <w:r>
        <w:t>7</w:t>
      </w:r>
      <w:r>
        <w:t>) копия договора о комплексном развитии территории (если применимо).</w:t>
      </w:r>
    </w:p>
    <w:p w14:paraId="0000004D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2.5. Местная администрация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муниципального района Кабардино-Балкарской Республики осуществляет регистрацию заявления в соответствии с инструкцией по делопроизводству в местной администрации </w:t>
      </w:r>
      <w:r>
        <w:rPr>
          <w:rFonts w:ascii="Times New Roman" w:cs="Times New Roman" w:hAnsi="Times New Roman"/>
          <w:sz w:val="24"/>
          <w:szCs w:val="24"/>
        </w:rPr>
        <w:t>с.п.Псынабо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Республики. Заявление первоначально направляется в адрес главы местной администрации 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Республики, затем перенаправляе</w:t>
      </w:r>
      <w:r>
        <w:rPr>
          <w:rFonts w:ascii="Times New Roman" w:cs="Times New Roman" w:hAnsi="Times New Roman"/>
          <w:sz w:val="24"/>
          <w:szCs w:val="24"/>
        </w:rPr>
        <w:t>тся одному сотруднику</w:t>
      </w:r>
      <w:r>
        <w:rPr>
          <w:rFonts w:ascii="Times New Roman" w:cs="Times New Roman" w:hAnsi="Times New Roman"/>
          <w:sz w:val="24"/>
          <w:szCs w:val="24"/>
        </w:rPr>
        <w:t xml:space="preserve"> местной администрации </w:t>
      </w:r>
      <w:r>
        <w:rPr>
          <w:rFonts w:ascii="Times New Roman" w:cs="Times New Roman" w:hAnsi="Times New Roman"/>
          <w:sz w:val="24"/>
          <w:szCs w:val="24"/>
        </w:rPr>
        <w:t>с.п.Псынабо</w:t>
      </w:r>
      <w:r>
        <w:rPr>
          <w:rFonts w:ascii="Times New Roman" w:cs="Times New Roman" w:hAnsi="Times New Roman"/>
          <w:sz w:val="24"/>
          <w:szCs w:val="24"/>
        </w:rPr>
        <w:t xml:space="preserve"> Урванского муниципального района Кабардино-Балкарской Республики в соответствии со сферой его деятельности и социально-экономической направленности инвестиционного проекта.</w:t>
      </w:r>
    </w:p>
    <w:p w14:paraId="0000004E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2.7. В целях рассмотрения заявления создается комиссия о предоставлении согласия на заключение (присоединение к) Соглашения (далее Комиссия), состав и порядок работы которой утверждается постановлением местной администрации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Республики.</w:t>
      </w:r>
    </w:p>
    <w:p w14:paraId="0000004F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2.8. Комиссия рассматривает заявление не позднее 14 рабочих дней со дня его регистрации.</w:t>
      </w:r>
    </w:p>
    <w:p w14:paraId="00000050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2.9. Комиссия в течение 7 рабочих дней со дня регистрации заявления запрашивает:</w:t>
      </w:r>
    </w:p>
    <w:p w14:paraId="00000051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1) сведения в отношении заявителя из Единого государственного реестра юридических лиц посредством электронной информационной базы Федеральной налоговой службы России;</w:t>
      </w:r>
    </w:p>
    <w:p w14:paraId="00000052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2) сведений в отношении участника отбора о банкротстве из Единого федерального реестра сведений о банкротстве;</w:t>
      </w:r>
    </w:p>
    <w:p w14:paraId="00000053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3) сведения в отношении заявителя о наличии (отсутствии) задолженности по уплате налогов, сборов, страховых взносов посредством электронной информационной базы Федеральной налоговой службы России.</w:t>
      </w:r>
    </w:p>
    <w:p w14:paraId="00000054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2.10. По результатам рассмотрения заявления, документов и сведений, представленных заявителем, сведений, полученных комиссией на соответствие требованиям, установленным настоящим Порядком, комиссия принимает решение о возможности (не возможности) предоставления согласия на заключение (присоединение к) Соглашения, которое оформляется в форме протокола заседания Комиссии, а также проект постановления местной администрации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 о предоставлении согласия на заключение (присоединение к) Соглашения (об отказе в предоставлении согласия на заключение (присоединение к) Соглашения).</w:t>
      </w:r>
    </w:p>
    <w:p w14:paraId="00000055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2.11. Основаниями для отказа в предоставлении согласия на заключения Соглашения являются:</w:t>
      </w:r>
    </w:p>
    <w:p w14:paraId="00000056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1) 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14:paraId="00000057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2) заявитель не соответствует требованиям, установленным пунктом 4 постановления Правительства РФ № 1577;</w:t>
      </w:r>
    </w:p>
    <w:p w14:paraId="00000058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3) заявление и прилагаемые к нему документы, не соответствуют требованиям, установленным Законом № 69-ФЗ, постановления Правительства РФ № 1577, настоящим Порядком;</w:t>
      </w:r>
    </w:p>
    <w:p w14:paraId="00000059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4) заявителем не соблюдены условия, установленные статьей 6 Закона </w:t>
      </w:r>
      <w:r>
        <w:rPr>
          <w:rFonts w:ascii="Times New Roman" w:cs="Times New Roman" w:hAnsi="Times New Roman"/>
          <w:sz w:val="24"/>
          <w:szCs w:val="24"/>
        </w:rPr>
        <w:br w:type="textWrapping"/>
      </w:r>
      <w:r>
        <w:rPr>
          <w:rFonts w:ascii="Times New Roman" w:cs="Times New Roman" w:hAnsi="Times New Roman"/>
          <w:sz w:val="24"/>
          <w:szCs w:val="24"/>
        </w:rPr>
        <w:t>№ 69-ФЗ;</w:t>
      </w:r>
    </w:p>
    <w:p w14:paraId="0000005A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5) наличие у заявителя задолженности по уплате налогов, сборов, таможенных платежей, иных платежей, взимание которых возложено на таможенные органы, страховых взносов, пеней, штрафов, процентов;</w:t>
      </w:r>
    </w:p>
    <w:p w14:paraId="0000005B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6) недостоверность представленной заявителем информации;</w:t>
      </w:r>
    </w:p>
    <w:p w14:paraId="0000005C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7)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нецелесообразность реализации инвестиционного проекта на территории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 муниципального района Кабардино-Балкарской Республики.</w:t>
      </w:r>
    </w:p>
    <w:p w14:paraId="0000005D">
      <w:pPr>
        <w:ind w:firstLine="85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2.12.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В случае отсутствия оснований для отказа в заключении соглашения о защите и поощрении капиталовложений (дополнительного соглашения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к нему), местная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администрация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с.п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.П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сынабо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Урванского муниципального района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  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подписывает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 соглашение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 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о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 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>защите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  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 и поощрении капиталовложений (дополнительное соглашение к нему)</w:t>
      </w:r>
      <w:r>
        <w:rPr>
          <w:rFonts w:ascii="Times New Roman" w:cs="Times New Roman" w:hAnsi="Times New Roman"/>
          <w:bCs/>
          <w:sz w:val="24"/>
          <w:szCs w:val="24"/>
          <w:shd w:val="clear" w:color="auto" w:fill="ffffff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Комиссия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направляет заявителю постановление местной администрации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 муниципального района Кабардино-Балкарской Республики о предоставлении согласия на заключение (присоединение к) Соглашения  не позднее 5 рабочих дней со дня вступления его в силу.</w:t>
      </w:r>
    </w:p>
    <w:p w14:paraId="0000005E">
      <w:pPr>
        <w:ind w:firstLine="85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2.13.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В случае выявления  Комиссией в заявлении, прилагаемых к нему документах и материалах основания  для отказа предусмотренные в п.2.11., указанные заявление, документы и материалы возвращаются заявителю не позднее 5  рабочих дней, что не лишает заявителя права повторно подать такое заявление при условии устранения выявленных нарушений.</w:t>
      </w:r>
    </w:p>
    <w:p w14:paraId="0000005F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2.14. М</w:t>
      </w:r>
      <w:r>
        <w:rPr>
          <w:rFonts w:ascii="Times New Roman" w:cs="Times New Roman" w:hAnsi="Times New Roman"/>
          <w:sz w:val="24"/>
          <w:szCs w:val="24"/>
        </w:rPr>
        <w:t xml:space="preserve">еры муниципальной поддержки устанавливаются муниципальными правовыми актами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Республики.</w:t>
      </w:r>
    </w:p>
    <w:p w14:paraId="00000060">
      <w:pPr>
        <w:spacing w:after="0" w:line="240" w:lineRule="atLeast"/>
        <w:jc w:val="both"/>
        <w:rPr>
          <w:rFonts w:ascii="Times New Roman" w:cs="Times New Roman" w:hAnsi="Times New Roman"/>
          <w:sz w:val="24"/>
          <w:szCs w:val="24"/>
        </w:rPr>
      </w:pPr>
    </w:p>
    <w:p w14:paraId="00000061">
      <w:pPr>
        <w:spacing w:after="0" w:line="240" w:lineRule="atLeast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3. Порядок заключения Соглашений</w:t>
      </w:r>
    </w:p>
    <w:p w14:paraId="00000062">
      <w:pPr>
        <w:spacing w:after="0" w:line="240" w:lineRule="atLeast"/>
        <w:jc w:val="both"/>
        <w:rPr>
          <w:rFonts w:ascii="Times New Roman" w:cs="Times New Roman" w:hAnsi="Times New Roman"/>
          <w:sz w:val="24"/>
          <w:szCs w:val="24"/>
        </w:rPr>
      </w:pPr>
    </w:p>
    <w:p w14:paraId="00000063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3.1. Соглашение заключается на основании частной проектной инициативы или публичной проектной инициативы по результатам процедур, предусмотренных статьями 7, </w:t>
      </w:r>
      <w:r>
        <w:rPr>
          <w:rFonts w:ascii="Times New Roman" w:cs="Times New Roman" w:hAnsi="Times New Roman"/>
          <w:sz w:val="24"/>
          <w:szCs w:val="24"/>
        </w:rPr>
        <w:fldChar w:fldCharType="begin"/>
      </w:r>
      <w:r>
        <w:rPr>
          <w:rFonts w:ascii="Times New Roman" w:cs="Times New Roman" w:hAnsi="Times New Roman"/>
          <w:sz w:val="24"/>
          <w:szCs w:val="24"/>
        </w:rPr>
        <w:instrText xml:space="preserve">HYPERLINK "consultantplus://offline/ref=702619F380D0990B1A1C2B722D8A4E237036FFB5DD4FE97C6D8248BB59D2B49DE3F44C1A1B3482EDCA74B90B7B5B60824B3055BC24E4D92DSB24K" </w:instrText>
      </w:r>
      <w:r>
        <w:rPr>
          <w:rFonts w:ascii="Times New Roman" w:cs="Times New Roman" w:hAnsi="Times New Roman"/>
          <w:sz w:val="24"/>
          <w:szCs w:val="24"/>
        </w:rPr>
        <w:fldChar w:fldCharType="separate"/>
      </w:r>
      <w:r>
        <w:rPr>
          <w:rFonts w:ascii="Times New Roman" w:cs="Times New Roman" w:hAnsi="Times New Roman"/>
          <w:sz w:val="24"/>
          <w:szCs w:val="24"/>
        </w:rPr>
        <w:t>8</w:t>
      </w:r>
      <w:r>
        <w:rPr>
          <w:rFonts w:ascii="Times New Roman" w:cs="Times New Roman" w:hAnsi="Times New Roman"/>
          <w:sz w:val="24"/>
          <w:szCs w:val="24"/>
        </w:rPr>
        <w:fldChar w:fldCharType="end"/>
      </w:r>
      <w:r>
        <w:rPr>
          <w:rFonts w:ascii="Times New Roman" w:cs="Times New Roman" w:hAnsi="Times New Roman"/>
          <w:sz w:val="24"/>
          <w:szCs w:val="24"/>
        </w:rPr>
        <w:t xml:space="preserve"> Закона № 69-ФЗ.</w:t>
      </w:r>
    </w:p>
    <w:p w14:paraId="00000064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3.2. Муниципальное образование «</w:t>
      </w:r>
      <w:r>
        <w:rPr>
          <w:rFonts w:ascii="Times New Roman" w:cs="Times New Roman" w:hAnsi="Times New Roman"/>
          <w:sz w:val="24"/>
          <w:szCs w:val="24"/>
        </w:rPr>
        <w:t xml:space="preserve">Сельское поселение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</w:t>
      </w:r>
      <w:r>
        <w:rPr>
          <w:rFonts w:ascii="Times New Roman" w:cs="Times New Roman" w:hAnsi="Times New Roman"/>
          <w:sz w:val="24"/>
          <w:szCs w:val="24"/>
        </w:rPr>
        <w:t xml:space="preserve"> район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Кабардино-Балкарской Республики» выступает стороной Соглашения, если Стороной такого Соглашения является субъект (субъекты) Российской Федерации, на территории которого (которых) реализуется соответствующий инвестиционный проект.</w:t>
      </w:r>
    </w:p>
    <w:p w14:paraId="00000065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3.3. От имени муниципального образования «</w:t>
      </w:r>
      <w:r>
        <w:rPr>
          <w:rFonts w:ascii="Times New Roman" w:cs="Times New Roman" w:hAnsi="Times New Roman"/>
          <w:sz w:val="24"/>
          <w:szCs w:val="24"/>
        </w:rPr>
        <w:t>Сельское поселение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</w:t>
      </w:r>
      <w:r>
        <w:rPr>
          <w:rFonts w:ascii="Times New Roman" w:cs="Times New Roman" w:hAnsi="Times New Roman"/>
          <w:sz w:val="24"/>
          <w:szCs w:val="24"/>
        </w:rPr>
        <w:t xml:space="preserve"> район</w:t>
      </w:r>
      <w:r>
        <w:rPr>
          <w:rFonts w:ascii="Times New Roman" w:cs="Times New Roman" w:hAnsi="Times New Roman"/>
          <w:sz w:val="24"/>
          <w:szCs w:val="24"/>
        </w:rPr>
        <w:t>а</w:t>
      </w:r>
      <w:r>
        <w:rPr>
          <w:rFonts w:ascii="Times New Roman" w:cs="Times New Roman" w:hAnsi="Times New Roman"/>
          <w:sz w:val="24"/>
          <w:szCs w:val="24"/>
        </w:rPr>
        <w:t xml:space="preserve"> Кабардино-Балкарской Республики</w:t>
      </w:r>
      <w:r>
        <w:rPr>
          <w:rFonts w:ascii="Times New Roman" w:cs="Times New Roman" w:hAnsi="Times New Roman"/>
          <w:sz w:val="24"/>
          <w:szCs w:val="24"/>
        </w:rPr>
        <w:t xml:space="preserve">» Соглашение заключает местная администрация </w:t>
      </w:r>
      <w:r>
        <w:rPr>
          <w:rFonts w:ascii="Times New Roman" w:cs="Times New Roman" w:hAnsi="Times New Roman"/>
          <w:sz w:val="24"/>
          <w:szCs w:val="24"/>
        </w:rPr>
        <w:t>с.п</w:t>
      </w:r>
      <w:r>
        <w:rPr>
          <w:rFonts w:ascii="Times New Roman" w:cs="Times New Roman" w:hAnsi="Times New Roman"/>
          <w:sz w:val="24"/>
          <w:szCs w:val="24"/>
        </w:rPr>
        <w:t>.П</w:t>
      </w:r>
      <w:r>
        <w:rPr>
          <w:rFonts w:ascii="Times New Roman" w:cs="Times New Roman" w:hAnsi="Times New Roman"/>
          <w:sz w:val="24"/>
          <w:szCs w:val="24"/>
        </w:rPr>
        <w:t>сынабо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Урванского</w:t>
      </w:r>
      <w:r>
        <w:rPr>
          <w:rFonts w:ascii="Times New Roman" w:cs="Times New Roman" w:hAnsi="Times New Roman"/>
          <w:sz w:val="24"/>
          <w:szCs w:val="24"/>
        </w:rPr>
        <w:t xml:space="preserve"> муниципального района Кабардино-Балкарской Республики.</w:t>
      </w:r>
    </w:p>
    <w:p w14:paraId="00000066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3.4. Соглашение заключается в порядке и по форме, утвержденной постановлением Правительства РФ № 1577.</w:t>
      </w:r>
    </w:p>
    <w:p w14:paraId="00000067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3.5. Соглашение должно содержать следующие условия:</w:t>
      </w:r>
    </w:p>
    <w:p w14:paraId="00000068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1) описание инвестиционного проекта, в том числе характеристики товаров, работ, услуг или результатов интеллектуальной деятельности, производимых, выполняемых, оказываемых или создаваемых в результате реализации инвестиционного проекта, сведения об их предполагаемом объеме, технологические и экологические требования к ним;</w:t>
      </w:r>
    </w:p>
    <w:p w14:paraId="00000069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2) указание на этапы реализации инвестиционного проекта, в том числе:</w:t>
      </w:r>
    </w:p>
    <w:p w14:paraId="0000006A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а) срок получения разрешений и согласий, необходимых для реализации проекта;</w:t>
      </w:r>
    </w:p>
    <w:p w14:paraId="0000006B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б) срок государственной регистрации прав, в том числе права на недвижимое имущество, результаты интеллектуальной деятельности или средства индивидуализации (в применимых случаях);</w:t>
      </w:r>
    </w:p>
    <w:p w14:paraId="0000006C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в) срок введения в эксплуатацию объекта, создаваемого, модернизируемого или реконструируемого в рамках инвестиционного проекта (в применимых случаях);</w:t>
      </w:r>
    </w:p>
    <w:p w14:paraId="0000006D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г) срок осуществления капиталовложений в установленном объеме, не превышающий срока применения стабилизационной оговорки, предусмотренного Федеральным законом № 69-ФЗ;</w:t>
      </w:r>
    </w:p>
    <w:p w14:paraId="0000006E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д) срок осуществления иных мероприятий, определенных в соглашении о защите и поощрении капиталовложений;</w:t>
      </w:r>
    </w:p>
    <w:p w14:paraId="0000006F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3) сведения о предельно допустимых отклонениях от параметров реализации инвестиционного проекта, указанных в Федеральном законе (в пределах 25 процентов). </w:t>
      </w:r>
      <w:r>
        <w:rPr>
          <w:rFonts w:ascii="Times New Roman" w:cs="Times New Roman" w:hAnsi="Times New Roman"/>
          <w:sz w:val="24"/>
          <w:szCs w:val="24"/>
        </w:rPr>
        <w:t>Значения предельно допустимых отклонений определяются в соответствии с порядком, установленным Правительством Российской Федерации, при этом объем вносимых организацией, реализующей проект, капиталовложений не может быть менее величин, предусмотренных частью 4 статьи 9 Федерального закона № 69-ФЗ;</w:t>
      </w:r>
    </w:p>
    <w:p w14:paraId="00000070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4) срок применения стабилизационной оговорки в пределах сроков, установленных Федеральным законом;</w:t>
      </w:r>
    </w:p>
    <w:p w14:paraId="00000071">
      <w:pPr>
        <w:spacing w:after="0" w:line="240" w:lineRule="atLeast"/>
        <w:ind w:firstLine="539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5) условия связанных договоров, в том числе сроки предоставления и объемы субсидий, бюджетных инвестиций, указанных в пункте 1 части 1 статьи 14 Федерального закона № 69-ФЗ, и (или) процентная ставка (порядок ее определения) по кредитному договору, указанному в пункте 2 части 1 статьи 14 Федерального закона № 69-ФЗ, а также сроки предоставления и объемы субсидий, указанных в пункте 2 части 3 статьи</w:t>
      </w:r>
      <w:r>
        <w:rPr>
          <w:rFonts w:ascii="Times New Roman" w:cs="Times New Roman" w:hAnsi="Times New Roman"/>
          <w:sz w:val="24"/>
          <w:szCs w:val="24"/>
        </w:rPr>
        <w:t xml:space="preserve"> 14 Федерального закона № 69-ФЗ;</w:t>
      </w:r>
    </w:p>
    <w:p w14:paraId="00000072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6) порядок представления организацией, реализующей проект, информации об этапах реализации инвестиционного проекта;</w:t>
      </w:r>
    </w:p>
    <w:p w14:paraId="00000073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7) порядок разрешения споров между сторонами соглашения о защите и поощрении капиталовложений;</w:t>
      </w:r>
    </w:p>
    <w:p w14:paraId="00000074">
      <w:pPr>
        <w:spacing w:after="0" w:line="240" w:lineRule="atLeast"/>
        <w:ind w:firstLine="5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8) иные условия, предусмотренные Законом № 69-ФЗ.</w:t>
      </w:r>
    </w:p>
    <w:p w14:paraId="00000075">
      <w:pPr>
        <w:ind w:firstLine="851"/>
        <w:jc w:val="both"/>
        <w:rPr>
          <w:rFonts w:ascii="Times New Roman" w:cs="Times New Roman" w:hAnsi="Times New Roman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sz w:val="24"/>
          <w:szCs w:val="24"/>
        </w:rPr>
        <w:t>3.6. С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оглашение о защите и поощрении капиталовложений (дополнительное соглашение к нему) признается заключенным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с даты регистрации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соответствующего соглашения (внесения в реестр соглашений).</w:t>
      </w:r>
    </w:p>
    <w:p w14:paraId="00000076">
      <w:pPr>
        <w:spacing w:after="0" w:line="240" w:lineRule="atLeast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Приложение</w:t>
      </w:r>
    </w:p>
    <w:p w14:paraId="00000077">
      <w:pPr>
        <w:spacing w:after="0" w:line="240" w:lineRule="atLeast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к Порядку и условиям заключения</w:t>
      </w:r>
    </w:p>
    <w:p w14:paraId="00000078">
      <w:pPr>
        <w:spacing w:after="0" w:line="240" w:lineRule="atLeast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соглашений о защите и поощрении</w:t>
      </w:r>
    </w:p>
    <w:p w14:paraId="00000079">
      <w:pPr>
        <w:spacing w:after="0" w:line="240" w:lineRule="atLeast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капиталовложений со стороны</w:t>
      </w:r>
    </w:p>
    <w:p w14:paraId="0000007A">
      <w:pPr>
        <w:spacing w:after="0" w:line="240" w:lineRule="atLeast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местной администрации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с.п</w:t>
      </w:r>
      <w:r>
        <w:rPr>
          <w:rFonts w:ascii="Times New Roman" w:cs="Times New Roman" w:hAnsi="Times New Roman"/>
        </w:rPr>
        <w:t>.П</w:t>
      </w:r>
      <w:r>
        <w:rPr>
          <w:rFonts w:ascii="Times New Roman" w:cs="Times New Roman" w:hAnsi="Times New Roman"/>
        </w:rPr>
        <w:t>сынабо</w:t>
      </w:r>
      <w:r>
        <w:rPr>
          <w:rFonts w:ascii="Times New Roman" w:cs="Times New Roman" w:hAnsi="Times New Roman"/>
        </w:rPr>
        <w:t xml:space="preserve"> </w:t>
      </w:r>
    </w:p>
    <w:p w14:paraId="0000007B">
      <w:pPr>
        <w:spacing w:after="0" w:line="240" w:lineRule="atLeast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Урванского  муниципального района</w:t>
      </w:r>
    </w:p>
    <w:p w14:paraId="0000007C">
      <w:pPr>
        <w:spacing w:after="0" w:line="240" w:lineRule="atLeast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Кабардино-Балкарской Республики</w:t>
      </w:r>
    </w:p>
    <w:p w14:paraId="0000007D">
      <w:pPr>
        <w:spacing w:after="0" w:line="240" w:lineRule="atLeast"/>
        <w:jc w:val="both"/>
        <w:rPr>
          <w:rFonts w:ascii="Times New Roman" w:cs="Times New Roman" w:hAnsi="Times New Roman"/>
        </w:rPr>
      </w:pPr>
    </w:p>
    <w:p w14:paraId="0000007E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Форма заявления о предоставлении согласия на заключение</w:t>
      </w:r>
    </w:p>
    <w:p w14:paraId="0000007F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(присоединение к) соглашения о защите и поощрении</w:t>
      </w:r>
    </w:p>
    <w:p w14:paraId="00000080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капиталовложений со стороны местной администрации </w:t>
      </w:r>
      <w:r>
        <w:rPr>
          <w:rFonts w:ascii="Times New Roman" w:cs="Times New Roman" w:hAnsi="Times New Roman"/>
        </w:rPr>
        <w:t>с.п</w:t>
      </w:r>
      <w:r>
        <w:rPr>
          <w:rFonts w:ascii="Times New Roman" w:cs="Times New Roman" w:hAnsi="Times New Roman"/>
        </w:rPr>
        <w:t>.П</w:t>
      </w:r>
      <w:r>
        <w:rPr>
          <w:rFonts w:ascii="Times New Roman" w:cs="Times New Roman" w:hAnsi="Times New Roman"/>
        </w:rPr>
        <w:t>сынабо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Урванского</w:t>
      </w:r>
      <w:r>
        <w:rPr>
          <w:rFonts w:ascii="Times New Roman" w:cs="Times New Roman" w:hAnsi="Times New Roman"/>
        </w:rPr>
        <w:t xml:space="preserve"> муниципального района</w:t>
      </w:r>
    </w:p>
    <w:p w14:paraId="00000081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___________________________________________________________________________</w:t>
      </w:r>
    </w:p>
    <w:p w14:paraId="00000082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(на бланке организации, реализующей проект (при наличии)</w:t>
      </w:r>
    </w:p>
    <w:p w14:paraId="00000083">
      <w:pPr>
        <w:spacing w:after="0" w:line="240" w:lineRule="atLeast"/>
        <w:jc w:val="center"/>
        <w:rPr>
          <w:rFonts w:ascii="Times New Roman" w:cs="Times New Roman" w:hAnsi="Times New Roman"/>
        </w:rPr>
      </w:pPr>
    </w:p>
    <w:p w14:paraId="00000084">
      <w:pPr>
        <w:spacing w:after="0" w:line="240" w:lineRule="atLeast"/>
        <w:jc w:val="center"/>
        <w:rPr>
          <w:rFonts w:ascii="Times New Roman" w:cs="Times New Roman" w:hAnsi="Times New Roman"/>
        </w:rPr>
      </w:pPr>
      <w:bookmarkStart w:id="3" w:name="P101"/>
      <w:bookmarkEnd w:id="3"/>
      <w:r>
        <w:rPr>
          <w:rFonts w:ascii="Times New Roman" w:cs="Times New Roman" w:hAnsi="Times New Roman"/>
        </w:rPr>
        <w:t>З</w:t>
      </w:r>
      <w:r>
        <w:rPr>
          <w:rFonts w:ascii="Times New Roman" w:cs="Times New Roman" w:hAnsi="Times New Roman"/>
        </w:rPr>
        <w:t>АЯВЛЕНИЕ</w:t>
      </w:r>
    </w:p>
    <w:p w14:paraId="00000085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О ПРЕДОСТАВЛЕНИИ СОГЛАСИЯ НА ЗАКЛЮЧЕНИЕ (ПРИСОЕДИНЕНИЕ К)</w:t>
      </w:r>
    </w:p>
    <w:p w14:paraId="00000086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СОГЛАШЕНИЯ О ЗАЩИТЕ И ПООЩРЕНИИ КАПИТАЛОВЛОЖЕНИЙ СО СТОРОНЫ</w:t>
      </w:r>
    </w:p>
    <w:p w14:paraId="00000087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МЕСНОЙ АДМИНИСТРАЦИИ </w:t>
      </w:r>
      <w:r>
        <w:rPr>
          <w:rFonts w:ascii="Times New Roman" w:cs="Times New Roman" w:hAnsi="Times New Roman"/>
        </w:rPr>
        <w:t>С</w:t>
      </w:r>
      <w:r>
        <w:rPr>
          <w:rFonts w:ascii="Times New Roman" w:cs="Times New Roman" w:hAnsi="Times New Roman"/>
        </w:rPr>
        <w:t>,П</w:t>
      </w:r>
      <w:r>
        <w:rPr>
          <w:rFonts w:ascii="Times New Roman" w:cs="Times New Roman" w:hAnsi="Times New Roman"/>
        </w:rPr>
        <w:t xml:space="preserve">,ПСЫНАБО </w:t>
      </w:r>
      <w:r>
        <w:rPr>
          <w:rFonts w:ascii="Times New Roman" w:cs="Times New Roman" w:hAnsi="Times New Roman"/>
        </w:rPr>
        <w:t>УРВАНСКОГО МУНИЦИПАЛЬНОГО РАЙОНА</w:t>
      </w:r>
    </w:p>
    <w:p w14:paraId="00000088">
      <w:pPr>
        <w:spacing w:after="0" w:line="240" w:lineRule="atLeast"/>
        <w:jc w:val="center"/>
        <w:rPr>
          <w:rFonts w:ascii="Times New Roman" w:cs="Times New Roman" w:hAnsi="Times New Roman"/>
        </w:rPr>
      </w:pPr>
    </w:p>
    <w:p w14:paraId="00000089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_________________________________________________________ (Далее заявитель)</w:t>
      </w:r>
    </w:p>
    <w:p w14:paraId="0000008A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(полное наименование организации, реализующей проект)</w:t>
      </w:r>
    </w:p>
    <w:p w14:paraId="0000008B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в лице ___________________________________________________________________,</w:t>
      </w:r>
    </w:p>
    <w:p w14:paraId="0000008C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(должность, фамилия, имя</w:t>
      </w:r>
      <w:r>
        <w:rPr>
          <w:rFonts w:ascii="Times New Roman" w:cs="Times New Roman" w:hAnsi="Times New Roman"/>
        </w:rPr>
        <w:t>.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о</w:t>
      </w:r>
      <w:r>
        <w:rPr>
          <w:rFonts w:ascii="Times New Roman" w:cs="Times New Roman" w:hAnsi="Times New Roman"/>
        </w:rPr>
        <w:t>тчество (при наличии) уполномоченного лица)</w:t>
      </w:r>
    </w:p>
    <w:p w14:paraId="0000008D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действующего</w:t>
      </w:r>
      <w:r>
        <w:rPr>
          <w:rFonts w:ascii="Times New Roman" w:cs="Times New Roman" w:hAnsi="Times New Roman"/>
        </w:rPr>
        <w:t xml:space="preserve"> на основании ________________________________________________,</w:t>
      </w:r>
    </w:p>
    <w:p w14:paraId="0000008E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(устав, доверенность, приказ или иной документ, удостоверяющий полномочия)</w:t>
      </w:r>
    </w:p>
    <w:p w14:paraId="0000008F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просит предоставить согласие на заключение (присоединение к) соглашения о</w:t>
      </w:r>
    </w:p>
    <w:p w14:paraId="00000090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защите и поощрении капиталовложений со стороны ____________ </w:t>
      </w:r>
      <w:r>
        <w:rPr>
          <w:rFonts w:ascii="Times New Roman" w:cs="Times New Roman" w:hAnsi="Times New Roman"/>
        </w:rPr>
        <w:t>муниципального</w:t>
      </w:r>
    </w:p>
    <w:p w14:paraId="00000091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района (далее соглашение) для реализации нового инвестиционного проекта</w:t>
      </w:r>
    </w:p>
    <w:p w14:paraId="00000092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«__________________________________________________________________________</w:t>
      </w:r>
    </w:p>
    <w:p w14:paraId="00000093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__________________________________________________________» (далее проект).</w:t>
      </w:r>
    </w:p>
    <w:p w14:paraId="00000094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                    (наименование проекта)</w:t>
      </w:r>
    </w:p>
    <w:p w14:paraId="00000095">
      <w:pPr>
        <w:spacing w:after="0" w:line="240" w:lineRule="atLeast"/>
        <w:jc w:val="both"/>
        <w:rPr>
          <w:rFonts w:ascii="Times New Roman" w:cs="Times New Roman" w:hAnsi="Times New Roman"/>
        </w:rPr>
      </w:pPr>
    </w:p>
    <w:p w14:paraId="00000096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                    I. Сведения о заявителе</w:t>
      </w:r>
    </w:p>
    <w:p w14:paraId="00000097">
      <w:pPr>
        <w:spacing w:after="0" w:line="240" w:lineRule="atLeast"/>
        <w:jc w:val="both"/>
        <w:rPr>
          <w:rFonts w:ascii="Times New Roman" w:cs="Times New Roman" w:hAnsi="Times New Roman"/>
        </w:rPr>
      </w:pP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382"/>
        <w:gridCol w:w="3544"/>
      </w:tblGrid>
      <w:tr>
        <w:trPr/>
        <w:tc>
          <w:tcPr>
            <w:cnfStyle w:val="000010100000"/>
            <w:tcW w:w="567" w:type="dxa"/>
          </w:tcPr>
          <w:p w14:paraId="00000098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№</w:t>
            </w:r>
          </w:p>
        </w:tc>
        <w:tc>
          <w:tcPr>
            <w:cnfStyle w:val="000001100000"/>
            <w:tcW w:w="5382" w:type="dxa"/>
          </w:tcPr>
          <w:p w14:paraId="00000099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Наименование показателя</w:t>
            </w:r>
          </w:p>
        </w:tc>
        <w:tc>
          <w:tcPr>
            <w:cnfStyle w:val="000010100000"/>
            <w:tcW w:w="3544" w:type="dxa"/>
          </w:tcPr>
          <w:p w14:paraId="0000009A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Значение показателя</w:t>
            </w:r>
          </w:p>
        </w:tc>
      </w:tr>
      <w:tr>
        <w:trPr/>
        <w:tc>
          <w:tcPr>
            <w:cnfStyle w:val="000010010000"/>
            <w:tcW w:w="567" w:type="dxa"/>
          </w:tcPr>
          <w:p w14:paraId="0000009B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cnfStyle w:val="000001010000"/>
            <w:tcW w:w="5382" w:type="dxa"/>
          </w:tcPr>
          <w:p w14:paraId="0000009C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Сокращенное наименование</w:t>
            </w:r>
          </w:p>
        </w:tc>
        <w:tc>
          <w:tcPr>
            <w:cnfStyle w:val="000010010000"/>
            <w:tcW w:w="3544" w:type="dxa"/>
          </w:tcPr>
          <w:p w14:paraId="0000009D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9E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cnfStyle w:val="000001100000"/>
            <w:tcW w:w="5382" w:type="dxa"/>
          </w:tcPr>
          <w:p w14:paraId="0000009F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ИНН</w:t>
            </w:r>
          </w:p>
        </w:tc>
        <w:tc>
          <w:tcPr>
            <w:cnfStyle w:val="000010100000"/>
            <w:tcW w:w="3544" w:type="dxa"/>
          </w:tcPr>
          <w:p w14:paraId="000000A0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A1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cnfStyle w:val="000001010000"/>
            <w:tcW w:w="5382" w:type="dxa"/>
          </w:tcPr>
          <w:p w14:paraId="000000A2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ОГРН</w:t>
            </w:r>
          </w:p>
        </w:tc>
        <w:tc>
          <w:tcPr>
            <w:cnfStyle w:val="000010010000"/>
            <w:tcW w:w="3544" w:type="dxa"/>
          </w:tcPr>
          <w:p w14:paraId="000000A3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A4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4.</w:t>
            </w:r>
          </w:p>
        </w:tc>
        <w:tc>
          <w:tcPr>
            <w:cnfStyle w:val="000001100000"/>
            <w:tcW w:w="5382" w:type="dxa"/>
          </w:tcPr>
          <w:p w14:paraId="000000A5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КПП</w:t>
            </w:r>
          </w:p>
        </w:tc>
        <w:tc>
          <w:tcPr>
            <w:cnfStyle w:val="000010100000"/>
            <w:tcW w:w="3544" w:type="dxa"/>
          </w:tcPr>
          <w:p w14:paraId="000000A6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A7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5.</w:t>
            </w:r>
          </w:p>
        </w:tc>
        <w:tc>
          <w:tcPr>
            <w:cnfStyle w:val="000001010000"/>
            <w:tcW w:w="5382" w:type="dxa"/>
          </w:tcPr>
          <w:p w14:paraId="000000A8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ОКПО</w:t>
            </w:r>
          </w:p>
        </w:tc>
        <w:tc>
          <w:tcPr>
            <w:cnfStyle w:val="000010010000"/>
            <w:tcW w:w="3544" w:type="dxa"/>
          </w:tcPr>
          <w:p w14:paraId="000000A9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AA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6.</w:t>
            </w:r>
          </w:p>
        </w:tc>
        <w:tc>
          <w:tcPr>
            <w:cnfStyle w:val="000001100000"/>
            <w:tcW w:w="5382" w:type="dxa"/>
          </w:tcPr>
          <w:p w14:paraId="000000AB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ОКВЭД (основной)</w:t>
            </w:r>
          </w:p>
        </w:tc>
        <w:tc>
          <w:tcPr>
            <w:cnfStyle w:val="000010100000"/>
            <w:tcW w:w="3544" w:type="dxa"/>
          </w:tcPr>
          <w:p w14:paraId="000000AC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AD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7.</w:t>
            </w:r>
          </w:p>
        </w:tc>
        <w:tc>
          <w:tcPr>
            <w:cnfStyle w:val="000001010000"/>
            <w:tcW w:w="5382" w:type="dxa"/>
          </w:tcPr>
          <w:p w14:paraId="000000AE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Размер уставного капитала</w:t>
            </w:r>
          </w:p>
        </w:tc>
        <w:tc>
          <w:tcPr>
            <w:cnfStyle w:val="000010010000"/>
            <w:tcW w:w="3544" w:type="dxa"/>
          </w:tcPr>
          <w:p w14:paraId="000000AF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B0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</w:t>
            </w:r>
          </w:p>
        </w:tc>
        <w:tc>
          <w:tcPr>
            <w:cnfStyle w:val="000001100000"/>
            <w:tcW w:w="5382" w:type="dxa"/>
          </w:tcPr>
          <w:p w14:paraId="000000B1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Адрес места нахождения:</w:t>
            </w:r>
          </w:p>
        </w:tc>
        <w:tc>
          <w:tcPr>
            <w:cnfStyle w:val="000010100000"/>
            <w:tcW w:w="3544" w:type="dxa"/>
            <w:vMerge w:val="restart"/>
          </w:tcPr>
          <w:p w14:paraId="000000B2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B3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8.1.</w:t>
            </w:r>
          </w:p>
        </w:tc>
        <w:tc>
          <w:tcPr>
            <w:cnfStyle w:val="000001010000"/>
            <w:tcW w:w="5382" w:type="dxa"/>
          </w:tcPr>
          <w:p w14:paraId="000000B4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индекс</w:t>
            </w:r>
          </w:p>
        </w:tc>
        <w:tc>
          <w:tcPr>
            <w:cnfStyle w:val="000010010000"/>
            <w:tcW w:w="3544" w:type="dxa"/>
            <w:vMerge w:val="continue"/>
          </w:tcPr>
          <w:p w14:paraId="000000B5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B6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8.2.</w:t>
            </w:r>
          </w:p>
        </w:tc>
        <w:tc>
          <w:tcPr>
            <w:cnfStyle w:val="000001100000"/>
            <w:tcW w:w="5382" w:type="dxa"/>
          </w:tcPr>
          <w:p w14:paraId="000000B7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регион</w:t>
            </w:r>
          </w:p>
        </w:tc>
        <w:tc>
          <w:tcPr>
            <w:cnfStyle w:val="000010100000"/>
            <w:tcW w:w="3544" w:type="dxa"/>
            <w:vMerge w:val="continue"/>
          </w:tcPr>
          <w:p w14:paraId="000000B8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B9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8.3.</w:t>
            </w:r>
          </w:p>
        </w:tc>
        <w:tc>
          <w:tcPr>
            <w:cnfStyle w:val="000001010000"/>
            <w:tcW w:w="5382" w:type="dxa"/>
          </w:tcPr>
          <w:p w14:paraId="000000BA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населенный пункт</w:t>
            </w:r>
          </w:p>
        </w:tc>
        <w:tc>
          <w:tcPr>
            <w:cnfStyle w:val="000010010000"/>
            <w:tcW w:w="3544" w:type="dxa"/>
            <w:vMerge w:val="continue"/>
          </w:tcPr>
          <w:p w14:paraId="000000BB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BC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8.4.</w:t>
            </w:r>
          </w:p>
        </w:tc>
        <w:tc>
          <w:tcPr>
            <w:cnfStyle w:val="000001100000"/>
            <w:tcW w:w="5382" w:type="dxa"/>
          </w:tcPr>
          <w:p w14:paraId="000000BD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улица</w:t>
            </w:r>
          </w:p>
        </w:tc>
        <w:tc>
          <w:tcPr>
            <w:cnfStyle w:val="000010100000"/>
            <w:tcW w:w="3544" w:type="dxa"/>
            <w:vMerge w:val="continue"/>
          </w:tcPr>
          <w:p w14:paraId="000000BE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BF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8.5.</w:t>
            </w:r>
          </w:p>
        </w:tc>
        <w:tc>
          <w:tcPr>
            <w:cnfStyle w:val="000001010000"/>
            <w:tcW w:w="5382" w:type="dxa"/>
          </w:tcPr>
          <w:p w14:paraId="000000C0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дом</w:t>
            </w:r>
          </w:p>
        </w:tc>
        <w:tc>
          <w:tcPr>
            <w:cnfStyle w:val="000010010000"/>
            <w:tcW w:w="3544" w:type="dxa"/>
            <w:vMerge w:val="continue"/>
          </w:tcPr>
          <w:p w14:paraId="000000C1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C2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8.6.</w:t>
            </w:r>
          </w:p>
        </w:tc>
        <w:tc>
          <w:tcPr>
            <w:cnfStyle w:val="000001100000"/>
            <w:tcW w:w="5382" w:type="dxa"/>
          </w:tcPr>
          <w:p w14:paraId="000000C3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корпус</w:t>
            </w:r>
          </w:p>
        </w:tc>
        <w:tc>
          <w:tcPr>
            <w:cnfStyle w:val="000010100000"/>
            <w:tcW w:w="3544" w:type="dxa"/>
            <w:vMerge w:val="continue"/>
          </w:tcPr>
          <w:p w14:paraId="000000C4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C5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8.7.</w:t>
            </w:r>
          </w:p>
        </w:tc>
        <w:tc>
          <w:tcPr>
            <w:cnfStyle w:val="000001010000"/>
            <w:tcW w:w="5382" w:type="dxa"/>
          </w:tcPr>
          <w:p w14:paraId="000000C6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квартира (офис)</w:t>
            </w:r>
          </w:p>
        </w:tc>
        <w:tc>
          <w:tcPr>
            <w:cnfStyle w:val="000010010000"/>
            <w:tcW w:w="3544" w:type="dxa"/>
            <w:vMerge w:val="continue"/>
          </w:tcPr>
          <w:p w14:paraId="000000C7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C8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</w:t>
            </w:r>
          </w:p>
        </w:tc>
        <w:tc>
          <w:tcPr>
            <w:cnfStyle w:val="000001100000"/>
            <w:tcW w:w="5382" w:type="dxa"/>
          </w:tcPr>
          <w:p w14:paraId="000000C9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Фактический адрес (при наличии):</w:t>
            </w:r>
          </w:p>
        </w:tc>
        <w:tc>
          <w:tcPr>
            <w:cnfStyle w:val="000010100000"/>
            <w:tcW w:w="3544" w:type="dxa"/>
            <w:vMerge w:val="restart"/>
          </w:tcPr>
          <w:p w14:paraId="000000CA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CB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9.1.</w:t>
            </w:r>
          </w:p>
        </w:tc>
        <w:tc>
          <w:tcPr>
            <w:cnfStyle w:val="000001010000"/>
            <w:tcW w:w="5382" w:type="dxa"/>
          </w:tcPr>
          <w:p w14:paraId="000000CC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страна</w:t>
            </w:r>
          </w:p>
        </w:tc>
        <w:tc>
          <w:tcPr>
            <w:cnfStyle w:val="000010010000"/>
            <w:tcW w:w="3544" w:type="dxa"/>
            <w:vMerge w:val="continue"/>
          </w:tcPr>
          <w:p w14:paraId="000000CD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CE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9.2.</w:t>
            </w:r>
          </w:p>
        </w:tc>
        <w:tc>
          <w:tcPr>
            <w:cnfStyle w:val="000001100000"/>
            <w:tcW w:w="5382" w:type="dxa"/>
          </w:tcPr>
          <w:p w14:paraId="000000CF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индекс</w:t>
            </w:r>
          </w:p>
        </w:tc>
        <w:tc>
          <w:tcPr>
            <w:cnfStyle w:val="000010100000"/>
            <w:tcW w:w="3544" w:type="dxa"/>
            <w:vMerge w:val="continue"/>
          </w:tcPr>
          <w:p w14:paraId="000000D0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D1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9.3.</w:t>
            </w:r>
          </w:p>
        </w:tc>
        <w:tc>
          <w:tcPr>
            <w:cnfStyle w:val="000001010000"/>
            <w:tcW w:w="5382" w:type="dxa"/>
          </w:tcPr>
          <w:p w14:paraId="000000D2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регион</w:t>
            </w:r>
          </w:p>
        </w:tc>
        <w:tc>
          <w:tcPr>
            <w:cnfStyle w:val="000010010000"/>
            <w:tcW w:w="3544" w:type="dxa"/>
            <w:vMerge w:val="continue"/>
          </w:tcPr>
          <w:p w14:paraId="000000D3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D4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9.4.</w:t>
            </w:r>
          </w:p>
        </w:tc>
        <w:tc>
          <w:tcPr>
            <w:cnfStyle w:val="000001100000"/>
            <w:tcW w:w="5382" w:type="dxa"/>
          </w:tcPr>
          <w:p w14:paraId="000000D5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населенный пункт</w:t>
            </w:r>
          </w:p>
        </w:tc>
        <w:tc>
          <w:tcPr>
            <w:cnfStyle w:val="000010100000"/>
            <w:tcW w:w="3544" w:type="dxa"/>
            <w:vMerge w:val="continue"/>
          </w:tcPr>
          <w:p w14:paraId="000000D6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D7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9.5.</w:t>
            </w:r>
          </w:p>
        </w:tc>
        <w:tc>
          <w:tcPr>
            <w:cnfStyle w:val="000001010000"/>
            <w:tcW w:w="5382" w:type="dxa"/>
          </w:tcPr>
          <w:p w14:paraId="000000D8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улица</w:t>
            </w:r>
          </w:p>
        </w:tc>
        <w:tc>
          <w:tcPr>
            <w:cnfStyle w:val="000010010000"/>
            <w:tcW w:w="3544" w:type="dxa"/>
            <w:vMerge w:val="continue"/>
          </w:tcPr>
          <w:p w14:paraId="000000D9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DA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9.6.</w:t>
            </w:r>
          </w:p>
        </w:tc>
        <w:tc>
          <w:tcPr>
            <w:cnfStyle w:val="000001100000"/>
            <w:tcW w:w="5382" w:type="dxa"/>
          </w:tcPr>
          <w:p w14:paraId="000000DB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ДОМ</w:t>
            </w:r>
          </w:p>
        </w:tc>
        <w:tc>
          <w:tcPr>
            <w:cnfStyle w:val="000010100000"/>
            <w:tcW w:w="3544" w:type="dxa"/>
            <w:vMerge w:val="continue"/>
          </w:tcPr>
          <w:p w14:paraId="000000DC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DD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9.7.</w:t>
            </w:r>
          </w:p>
        </w:tc>
        <w:tc>
          <w:tcPr>
            <w:cnfStyle w:val="000001010000"/>
            <w:tcW w:w="5382" w:type="dxa"/>
          </w:tcPr>
          <w:p w14:paraId="000000DE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корпус</w:t>
            </w:r>
          </w:p>
        </w:tc>
        <w:tc>
          <w:tcPr>
            <w:cnfStyle w:val="000010010000"/>
            <w:tcW w:w="3544" w:type="dxa"/>
            <w:vMerge w:val="continue"/>
          </w:tcPr>
          <w:p w14:paraId="000000DF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E0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9.8.</w:t>
            </w:r>
          </w:p>
        </w:tc>
        <w:tc>
          <w:tcPr>
            <w:cnfStyle w:val="000001100000"/>
            <w:tcW w:w="5382" w:type="dxa"/>
          </w:tcPr>
          <w:p w14:paraId="000000E1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квартира (офис)</w:t>
            </w:r>
          </w:p>
        </w:tc>
        <w:tc>
          <w:tcPr>
            <w:cnfStyle w:val="000010100000"/>
            <w:tcW w:w="3544" w:type="dxa"/>
            <w:vMerge w:val="continue"/>
          </w:tcPr>
          <w:p w14:paraId="000000E2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E3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10.</w:t>
            </w:r>
          </w:p>
        </w:tc>
        <w:tc>
          <w:tcPr>
            <w:cnfStyle w:val="000001010000"/>
            <w:tcW w:w="5382" w:type="dxa"/>
          </w:tcPr>
          <w:p w14:paraId="000000E4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Адрес электронной почты уполномоченного лица</w:t>
            </w:r>
          </w:p>
        </w:tc>
        <w:tc>
          <w:tcPr>
            <w:cnfStyle w:val="000010010000"/>
            <w:tcW w:w="3544" w:type="dxa"/>
          </w:tcPr>
          <w:p w14:paraId="000000E5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E6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11.</w:t>
            </w:r>
          </w:p>
        </w:tc>
        <w:tc>
          <w:tcPr>
            <w:cnfStyle w:val="000001100000"/>
            <w:tcW w:w="5382" w:type="dxa"/>
          </w:tcPr>
          <w:p w14:paraId="000000E7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Телефон уполномоченного лица</w:t>
            </w:r>
          </w:p>
        </w:tc>
        <w:tc>
          <w:tcPr>
            <w:cnfStyle w:val="000010100000"/>
            <w:tcW w:w="3544" w:type="dxa"/>
          </w:tcPr>
          <w:p w14:paraId="000000E8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E9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12.</w:t>
            </w:r>
          </w:p>
        </w:tc>
        <w:tc>
          <w:tcPr>
            <w:cnfStyle w:val="000001010000"/>
            <w:tcW w:w="5382" w:type="dxa"/>
          </w:tcPr>
          <w:p w14:paraId="000000EA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Проектная компания (да или нет)</w:t>
            </w:r>
          </w:p>
        </w:tc>
        <w:tc>
          <w:tcPr>
            <w:cnfStyle w:val="000010010000"/>
            <w:tcW w:w="3544" w:type="dxa"/>
          </w:tcPr>
          <w:p w14:paraId="000000EB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EC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13.</w:t>
            </w:r>
          </w:p>
        </w:tc>
        <w:tc>
          <w:tcPr>
            <w:cnfStyle w:val="000001100000"/>
            <w:tcW w:w="5382" w:type="dxa"/>
          </w:tcPr>
          <w:p w14:paraId="000000ED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Участник внешнеэкономической деятельности (да или нет)</w:t>
            </w:r>
          </w:p>
        </w:tc>
        <w:tc>
          <w:tcPr>
            <w:cnfStyle w:val="000010100000"/>
            <w:tcW w:w="3544" w:type="dxa"/>
          </w:tcPr>
          <w:p w14:paraId="000000EE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</w:tbl>
    <w:p w14:paraId="000000EF">
      <w:pPr>
        <w:spacing w:after="0" w:line="240" w:lineRule="atLeast"/>
        <w:jc w:val="both"/>
        <w:rPr>
          <w:rFonts w:ascii="Times New Roman" w:cs="Times New Roman" w:hAnsi="Times New Roman"/>
        </w:rPr>
      </w:pPr>
    </w:p>
    <w:p w14:paraId="000000F0">
      <w:pPr>
        <w:spacing w:after="0" w:line="240" w:lineRule="atLeast"/>
        <w:jc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II. Сведения о проекте</w:t>
      </w:r>
    </w:p>
    <w:p w14:paraId="000000F1">
      <w:pPr>
        <w:spacing w:after="0" w:line="240" w:lineRule="atLeast"/>
        <w:jc w:val="both"/>
        <w:rPr>
          <w:rFonts w:ascii="Times New Roman" w:cs="Times New Roman" w:hAnsi="Times New Roman"/>
        </w:rPr>
      </w:pPr>
    </w:p>
    <w:tbl>
      <w:tblPr>
        <w:tblW w:w="9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382"/>
        <w:gridCol w:w="3544"/>
      </w:tblGrid>
      <w:tr>
        <w:trPr/>
        <w:tc>
          <w:tcPr>
            <w:cnfStyle w:val="000010100000"/>
            <w:tcW w:w="567" w:type="dxa"/>
          </w:tcPr>
          <w:p w14:paraId="000000F2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№</w:t>
            </w:r>
          </w:p>
        </w:tc>
        <w:tc>
          <w:tcPr>
            <w:cnfStyle w:val="000001100000"/>
            <w:tcW w:w="5382" w:type="dxa"/>
          </w:tcPr>
          <w:p w14:paraId="000000F3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Наименование показателя</w:t>
            </w:r>
          </w:p>
        </w:tc>
        <w:tc>
          <w:tcPr>
            <w:cnfStyle w:val="000010100000"/>
            <w:tcW w:w="3544" w:type="dxa"/>
          </w:tcPr>
          <w:p w14:paraId="000000F4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Значение показателя</w:t>
            </w:r>
          </w:p>
        </w:tc>
      </w:tr>
      <w:tr>
        <w:trPr/>
        <w:tc>
          <w:tcPr>
            <w:cnfStyle w:val="000010010000"/>
            <w:tcW w:w="567" w:type="dxa"/>
          </w:tcPr>
          <w:p w14:paraId="000000F5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1.</w:t>
            </w:r>
          </w:p>
        </w:tc>
        <w:tc>
          <w:tcPr>
            <w:cnfStyle w:val="000001010000"/>
            <w:tcW w:w="5382" w:type="dxa"/>
          </w:tcPr>
          <w:p w14:paraId="000000F6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Сфера экономики (вид деятельности), в которой реализуется проект</w:t>
            </w:r>
          </w:p>
        </w:tc>
        <w:tc>
          <w:tcPr>
            <w:cnfStyle w:val="000010010000"/>
            <w:tcW w:w="3544" w:type="dxa"/>
          </w:tcPr>
          <w:p w14:paraId="000000F7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F8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2.</w:t>
            </w:r>
          </w:p>
        </w:tc>
        <w:tc>
          <w:tcPr>
            <w:cnfStyle w:val="000001100000"/>
            <w:tcW w:w="5382" w:type="dxa"/>
          </w:tcPr>
          <w:p w14:paraId="000000F9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cnfStyle w:val="000010100000"/>
            <w:tcW w:w="3544" w:type="dxa"/>
          </w:tcPr>
          <w:p w14:paraId="000000FA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0FB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3.</w:t>
            </w:r>
          </w:p>
        </w:tc>
        <w:tc>
          <w:tcPr>
            <w:cnfStyle w:val="000001010000"/>
            <w:tcW w:w="5382" w:type="dxa"/>
          </w:tcPr>
          <w:p w14:paraId="000000FC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Субъект (субъекты) Российской Федерации, на территории которого (которых) предполагается реализация проекта</w:t>
            </w:r>
          </w:p>
        </w:tc>
        <w:tc>
          <w:tcPr>
            <w:cnfStyle w:val="000010010000"/>
            <w:tcW w:w="3544" w:type="dxa"/>
          </w:tcPr>
          <w:p w14:paraId="000000FD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0FE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4.</w:t>
            </w:r>
          </w:p>
        </w:tc>
        <w:tc>
          <w:tcPr>
            <w:cnfStyle w:val="000001100000"/>
            <w:tcW w:w="5382" w:type="dxa"/>
          </w:tcPr>
          <w:p w14:paraId="000000FF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Участие Российской Федерации в соглашении (да или нет)</w:t>
            </w:r>
          </w:p>
        </w:tc>
        <w:tc>
          <w:tcPr>
            <w:cnfStyle w:val="000010100000"/>
            <w:tcW w:w="3544" w:type="dxa"/>
          </w:tcPr>
          <w:p w14:paraId="00000100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101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5.</w:t>
            </w:r>
          </w:p>
        </w:tc>
        <w:tc>
          <w:tcPr>
            <w:cnfStyle w:val="000001010000"/>
            <w:tcW w:w="5382" w:type="dxa"/>
          </w:tcPr>
          <w:p w14:paraId="00000102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Участие в соглашении муниципального образования (муниципальных образований) (да или нет)</w:t>
            </w:r>
          </w:p>
        </w:tc>
        <w:tc>
          <w:tcPr>
            <w:cnfStyle w:val="000010010000"/>
            <w:tcW w:w="3544" w:type="dxa"/>
          </w:tcPr>
          <w:p w14:paraId="00000103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104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6.</w:t>
            </w:r>
          </w:p>
        </w:tc>
        <w:tc>
          <w:tcPr>
            <w:cnfStyle w:val="000001100000"/>
            <w:tcW w:w="5382" w:type="dxa"/>
          </w:tcPr>
          <w:p w14:paraId="00000105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Период реализации проекта</w:t>
            </w:r>
          </w:p>
        </w:tc>
        <w:tc>
          <w:tcPr>
            <w:cnfStyle w:val="000010100000"/>
            <w:tcW w:w="3544" w:type="dxa"/>
          </w:tcPr>
          <w:p w14:paraId="00000106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107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7.</w:t>
            </w:r>
          </w:p>
        </w:tc>
        <w:tc>
          <w:tcPr>
            <w:cnfStyle w:val="000001010000"/>
            <w:tcW w:w="5382" w:type="dxa"/>
          </w:tcPr>
          <w:p w14:paraId="00000108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Общий размер капиталовложений в соответствии с соглашением</w:t>
            </w:r>
            <w:r>
              <w:rPr>
                <w:rFonts w:ascii="Times New Roman" w:cs="Times New Roman" w:hAnsi="Times New Roman"/>
              </w:rPr>
              <w:t>.</w:t>
            </w:r>
            <w:r>
              <w:rPr>
                <w:rFonts w:ascii="Times New Roman" w:cs="Times New Roman" w:hAnsi="Times New Roman"/>
              </w:rPr>
              <w:t xml:space="preserve"> </w:t>
            </w:r>
            <w:r>
              <w:rPr>
                <w:rFonts w:ascii="Times New Roman" w:cs="Times New Roman" w:hAnsi="Times New Roman"/>
              </w:rPr>
              <w:t>в</w:t>
            </w:r>
            <w:r>
              <w:rPr>
                <w:rFonts w:ascii="Times New Roman" w:cs="Times New Roman" w:hAnsi="Times New Roman"/>
              </w:rPr>
              <w:t>ключая осуществленные капиталовложения (рублей)</w:t>
            </w:r>
          </w:p>
        </w:tc>
        <w:tc>
          <w:tcPr>
            <w:cnfStyle w:val="000010010000"/>
            <w:tcW w:w="3544" w:type="dxa"/>
          </w:tcPr>
          <w:p w14:paraId="00000109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10A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8.</w:t>
            </w:r>
          </w:p>
        </w:tc>
        <w:tc>
          <w:tcPr>
            <w:cnfStyle w:val="000001100000"/>
            <w:tcW w:w="5382" w:type="dxa"/>
          </w:tcPr>
          <w:p w14:paraId="0000010B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Размер капиталовложений для каждого из этапов реализации проекта (рублей)</w:t>
            </w:r>
          </w:p>
        </w:tc>
        <w:tc>
          <w:tcPr>
            <w:cnfStyle w:val="000010100000"/>
            <w:tcW w:w="3544" w:type="dxa"/>
          </w:tcPr>
          <w:p w14:paraId="0000010C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10D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9.</w:t>
            </w:r>
          </w:p>
        </w:tc>
        <w:tc>
          <w:tcPr>
            <w:cnfStyle w:val="000001010000"/>
            <w:tcW w:w="5382" w:type="dxa"/>
          </w:tcPr>
          <w:p w14:paraId="0000010E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 xml:space="preserve">Прогнозируемый объем налогов и иных обязательных платежей </w:t>
            </w:r>
            <w:r>
              <w:rPr>
                <w:rFonts w:ascii="Times New Roman" w:cs="Times New Roman" w:hAnsi="Times New Roman"/>
              </w:rPr>
              <w:t>в связи с реализацией проекта из расчета на каждый год реализации проекта в период</w:t>
            </w:r>
            <w:r>
              <w:rPr>
                <w:rFonts w:ascii="Times New Roman" w:cs="Times New Roman" w:hAnsi="Times New Roman"/>
              </w:rPr>
              <w:t xml:space="preserve"> действия соглашения (рублей)</w:t>
            </w:r>
          </w:p>
        </w:tc>
        <w:tc>
          <w:tcPr>
            <w:cnfStyle w:val="000010010000"/>
            <w:tcW w:w="3544" w:type="dxa"/>
          </w:tcPr>
          <w:p w14:paraId="0000010F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110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10.</w:t>
            </w:r>
          </w:p>
        </w:tc>
        <w:tc>
          <w:tcPr>
            <w:cnfStyle w:val="000001100000"/>
            <w:tcW w:w="5382" w:type="dxa"/>
          </w:tcPr>
          <w:p w14:paraId="00000111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Наличие перечня объектов обеспечивающей и (или) сопутствующей инфраструктуры, затраты на создание (строительство), модернизацию и (или) реконструкцию которых предполагается возместить за счет средств бюджетов бюджетной системы Российской Федерации (да или нет)</w:t>
            </w:r>
          </w:p>
        </w:tc>
        <w:tc>
          <w:tcPr>
            <w:cnfStyle w:val="000010100000"/>
            <w:tcW w:w="3544" w:type="dxa"/>
          </w:tcPr>
          <w:p w14:paraId="00000112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113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11.</w:t>
            </w:r>
          </w:p>
        </w:tc>
        <w:tc>
          <w:tcPr>
            <w:cnfStyle w:val="000001010000"/>
            <w:tcW w:w="5382" w:type="dxa"/>
          </w:tcPr>
          <w:p w14:paraId="00000114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Заверение о соответствии проекта и заявителя, требованиям Федерального закона от 01.04.2020 № 69-ФЗ «О защите и поощрении капиталовложений в Российской Федерации» и о достоверности содержащихся в заявлении и прилагаемых к заявлению документов и сведений, постановления Правительства РФ от 01.10.2020 № 1577 «Об утверждении Правил заключения, изменения, прекращения действия соглашений о защите и поощрении капиталовложений, ведения реестра соглашений о защите и поощрении капиталовложений</w:t>
            </w:r>
            <w:r>
              <w:rPr>
                <w:rFonts w:ascii="Times New Roman" w:cs="Times New Roman" w:hAnsi="Times New Roman"/>
              </w:rPr>
              <w:t>» (да или нет)</w:t>
            </w:r>
          </w:p>
        </w:tc>
        <w:tc>
          <w:tcPr>
            <w:cnfStyle w:val="000010010000"/>
            <w:tcW w:w="3544" w:type="dxa"/>
          </w:tcPr>
          <w:p w14:paraId="00000115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100000"/>
            <w:tcW w:w="567" w:type="dxa"/>
          </w:tcPr>
          <w:p w14:paraId="00000116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12.</w:t>
            </w:r>
          </w:p>
        </w:tc>
        <w:tc>
          <w:tcPr>
            <w:cnfStyle w:val="000001100000"/>
            <w:tcW w:w="5382" w:type="dxa"/>
          </w:tcPr>
          <w:p w14:paraId="00000117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Заверение о том, что заявитель не находится в процессе ликвидации</w:t>
            </w:r>
          </w:p>
        </w:tc>
        <w:tc>
          <w:tcPr>
            <w:cnfStyle w:val="000010100000"/>
            <w:tcW w:w="3544" w:type="dxa"/>
          </w:tcPr>
          <w:p w14:paraId="00000118">
            <w:pPr>
              <w:spacing w:after="0" w:line="240" w:lineRule="atLeast"/>
              <w:rPr>
                <w:rFonts w:ascii="Times New Roman" w:cs="Times New Roman" w:hAnsi="Times New Roman"/>
              </w:rPr>
            </w:pPr>
          </w:p>
        </w:tc>
      </w:tr>
      <w:tr>
        <w:trPr/>
        <w:tc>
          <w:tcPr>
            <w:cnfStyle w:val="000010010000"/>
            <w:tcW w:w="567" w:type="dxa"/>
          </w:tcPr>
          <w:p w14:paraId="00000119">
            <w:pPr>
              <w:spacing w:after="0" w:line="240" w:lineRule="atLeast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13.</w:t>
            </w:r>
          </w:p>
        </w:tc>
        <w:tc>
          <w:tcPr>
            <w:cnfStyle w:val="000001010000"/>
            <w:tcW w:w="5382" w:type="dxa"/>
          </w:tcPr>
          <w:p w14:paraId="0000011A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Приложение</w:t>
            </w:r>
          </w:p>
        </w:tc>
        <w:tc>
          <w:tcPr>
            <w:cnfStyle w:val="000010010000"/>
            <w:tcW w:w="3544" w:type="dxa"/>
          </w:tcPr>
          <w:p w14:paraId="0000011B">
            <w:pPr>
              <w:spacing w:after="0" w:line="240" w:lineRule="atLeast"/>
              <w:jc w:val="both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Документы, предусмотренные пунктом 2.4 раздела 2 Порядка и условий заключения соглашений о защите и поощрении капиталовложений со стороны ________________ муниципального района</w:t>
            </w:r>
          </w:p>
        </w:tc>
      </w:tr>
    </w:tbl>
    <w:p w14:paraId="0000011C">
      <w:pPr>
        <w:spacing w:after="0" w:line="240" w:lineRule="atLeast"/>
        <w:jc w:val="both"/>
        <w:rPr>
          <w:rFonts w:ascii="Times New Roman" w:cs="Times New Roman" w:hAnsi="Times New Roman"/>
        </w:rPr>
      </w:pPr>
    </w:p>
    <w:p w14:paraId="0000011D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Подписание настоящего заявления означает согласие заявителя на осуществление в целях заключения (присоединения к), изменения, прекращения (расторжения) соглашения, заключения дополнительных соглашений к нему и в соответствии с требованиями законодательства Российской Федерации обработки (в том числе сбор, запись, систематизацию, накопление, хранение, уточнение (обновление, изменение), извлечение, использование, передачу, обезличивание) персональных данных физических лиц, информация о которых представлена заявителем, сведений о заявителе, о проекте</w:t>
      </w:r>
      <w:r>
        <w:rPr>
          <w:rFonts w:ascii="Times New Roman" w:cs="Times New Roman" w:hAnsi="Times New Roman"/>
        </w:rPr>
        <w:t>, о заключаемом соглашении, о дополнительных соглашениях к нему и информации о действиях (решениях), связанных с исполнением указанных соглашений.</w:t>
      </w:r>
    </w:p>
    <w:p w14:paraId="0000011E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__________________</w:t>
      </w:r>
    </w:p>
    <w:p w14:paraId="0000011F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(дата)</w:t>
      </w:r>
    </w:p>
    <w:p w14:paraId="00000120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________________________________           _________                              ________________________________</w:t>
      </w:r>
    </w:p>
    <w:p w14:paraId="00000121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(должность уполномоченного лица)                 (подпись)                                    (Ф.И.О. уполномоченного лица)</w:t>
      </w:r>
    </w:p>
    <w:p w14:paraId="00000122">
      <w:pPr>
        <w:spacing w:after="0" w:line="240" w:lineRule="atLeast"/>
        <w:jc w:val="both"/>
        <w:rPr>
          <w:rFonts w:ascii="Times New Roman" w:cs="Times New Roman" w:hAnsi="Times New Roman"/>
        </w:rPr>
      </w:pPr>
    </w:p>
    <w:p w14:paraId="00000123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М.П.</w:t>
      </w:r>
    </w:p>
    <w:p w14:paraId="00000124">
      <w:pPr>
        <w:spacing w:after="0" w:line="240" w:lineRule="atLeast"/>
        <w:jc w:val="both"/>
        <w:rPr>
          <w:rFonts w:ascii="Times New Roman" w:cs="Times New Roman" w:hAnsi="Times New Roman"/>
        </w:rPr>
      </w:pPr>
    </w:p>
    <w:p w14:paraId="00000125">
      <w:pPr>
        <w:spacing w:after="0" w:line="240" w:lineRule="atLeast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(при наличии)</w:t>
      </w:r>
    </w:p>
    <w:p w14:paraId="00000126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7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8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9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A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B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C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D">
      <w:pPr>
        <w:tabs>
          <w:tab w:val="left" w:pos="4080"/>
        </w:tabs>
        <w:rPr>
          <w:rFonts w:ascii="Times New Roman" w:cs="Times New Roman" w:hAnsi="Times New Roman"/>
        </w:rPr>
      </w:pPr>
    </w:p>
    <w:p w14:paraId="0000012E">
      <w:pPr>
        <w:pStyle w:val="Normal"/>
        <w:widowControl w:val="on"/>
        <w:jc w:val="right"/>
        <w:rPr>
          <w:rFonts w:ascii="Times New Roman CYR" w:cs="Times New Roman CYR" w:hAnsi="Times New Roman CYR" w:hint="default"/>
          <w:sz w:val="32"/>
          <w:szCs w:val="32"/>
        </w:rPr>
      </w:pPr>
    </w:p>
    <w:p w14:paraId="0000012F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 А К Л Ю Ч Е Н И Е</w:t>
      </w:r>
    </w:p>
    <w:p w14:paraId="00000130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об обнародовании муниципального пр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авового акта</w:t>
      </w:r>
    </w:p>
    <w:p w14:paraId="00000131">
      <w:pPr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        Постановление МКУ «Мест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ной администрации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с.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Псынабо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 от 08.07.2024г. № 24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«</w:t>
      </w:r>
      <w:r>
        <w:rPr>
          <w:rFonts w:hint="default"/>
          <w:b/>
          <w:sz w:val="28"/>
          <w:szCs w:val="28"/>
        </w:rPr>
        <w:t xml:space="preserve"> </w:t>
      </w:r>
      <w:r>
        <w:rPr>
          <w:rFonts w:ascii="Times New Roman" w:cs="Times New Roman" w:hAnsi="Times New Roman"/>
          <w:b w:val="off"/>
          <w:bCs w:val="off"/>
          <w:sz w:val="22"/>
          <w:szCs w:val="22"/>
        </w:rPr>
        <w:t xml:space="preserve">О ПОРЯДКЕ И УСЛОВИЯХ ЗАКЛЮЧЕНИЯ СОГЛАШЕНИЙ О ЗАЩИТЕ И ПООЩРЕНИИ КАПИТАЛОВЛОЖЕНИЙ СО СТОРОНЫ  МЕСТНОЙ АДМИНИСТРАЦИИ </w:t>
      </w:r>
      <w:r>
        <w:rPr>
          <w:rFonts w:ascii="Times New Roman" w:cs="Times New Roman" w:hAnsi="Times New Roman"/>
          <w:b w:val="off"/>
          <w:bCs w:val="off"/>
          <w:sz w:val="22"/>
          <w:szCs w:val="22"/>
        </w:rPr>
        <w:t xml:space="preserve">СЕЛЬСКОГО ПОСЕЛЕНИЯ ПСЫНАБО </w:t>
      </w:r>
      <w:r>
        <w:rPr>
          <w:rFonts w:ascii="Times New Roman" w:cs="Times New Roman" w:hAnsi="Times New Roman"/>
          <w:b w:val="off"/>
          <w:bCs w:val="off"/>
          <w:sz w:val="22"/>
          <w:szCs w:val="22"/>
        </w:rPr>
        <w:t>УРВАНСКОГО  УНИЦИПАЛЬНОГО РАЙОНА  КАБАРДИНО-БАЛКАРСКОЙ РЕСПУБЛИКИ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</w:t>
      </w:r>
    </w:p>
    <w:p w14:paraId="00000132">
      <w:pPr>
        <w:pStyle w:val="Normal"/>
        <w:widowControl w:val="off"/>
        <w:spacing w:after="0" w:line="240" w:lineRule="auto"/>
        <w:jc w:val="center"/>
        <w:rPr>
          <w:rFonts w:ascii="Times New Roman" w:cs="Times New Roman" w:eastAsia="Times New Roman" w:hAnsi="Times New Roman" w:hint="default"/>
          <w:b/>
          <w:sz w:val="28"/>
          <w:szCs w:val="28"/>
          <w:lang w:eastAsia="ru-RU"/>
        </w:rPr>
      </w:pPr>
    </w:p>
    <w:p w14:paraId="00000133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Период обнародования: с 08.07.2024г. по 08.08.2024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г.</w:t>
      </w:r>
    </w:p>
    <w:p w14:paraId="00000134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</w:p>
    <w:tbl>
      <w:tblPr>
        <w:tblW w:w="0" w:type="auto"/>
        <w:tblLayout w:type="auto"/>
        <w:tblLook w:val="04A0"/>
      </w:tblPr>
      <w:tblGrid>
        <w:gridCol w:w="170"/>
        <w:gridCol w:w="2345"/>
        <w:gridCol w:w="5034"/>
        <w:gridCol w:w="1820"/>
      </w:tblGrid>
      <w:tr>
        <w:trPr>
          <w:cantSplit w:val="off"/>
        </w:trPr>
        <w:tc>
          <w:tcPr>
            <w:cnfStyle w:val="101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5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6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7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Адрес, наименование организации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8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Подпись, пе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чать</w:t>
            </w: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9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1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A">
            <w:pPr>
              <w:pStyle w:val="Normal"/>
              <w:spacing w:after="0" w:line="240" w:lineRule="auto"/>
              <w:jc w:val="both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Балкаров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Х.С.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3B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д.22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13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Псынабо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13D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3E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3F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1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2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Теувова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И.Х.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д.24</w:t>
            </w:r>
          </w:p>
          <w:p w14:paraId="0000014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МКОУ СОШ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им.В.Х.Кагазежева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сынабо</w:t>
            </w:r>
          </w:p>
          <w:p w14:paraId="00000145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46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47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8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9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4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A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Индарокова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А.Х.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4B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д.26</w:t>
            </w:r>
          </w:p>
          <w:p w14:paraId="0000014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МКУК «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Псынабская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сельская библиотека»</w:t>
            </w:r>
          </w:p>
          <w:p w14:paraId="0000014D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4E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4F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5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</w:tbl>
    <w:p w14:paraId="00000151">
      <w:pPr>
        <w:pStyle w:val="Normal"/>
        <w:rPr>
          <w:rFonts w:ascii="Times New Roman" w:cs="Times New Roman" w:hAnsi="Times New Roman" w:hint="default"/>
          <w:sz w:val="28"/>
          <w:szCs w:val="28"/>
        </w:rPr>
      </w:pPr>
    </w:p>
    <w:p w14:paraId="00000152">
      <w:pPr>
        <w:pStyle w:val="Normal"/>
        <w:ind w:firstLine="720"/>
        <w:jc w:val="both"/>
        <w:rPr>
          <w:rFonts w:ascii="Times New Roman" w:cs="Times New Roman" w:hAnsi="Times New Roman" w:hint="default"/>
          <w:b/>
          <w:sz w:val="28"/>
          <w:szCs w:val="28"/>
        </w:rPr>
      </w:pPr>
    </w:p>
    <w:p w14:paraId="00000153">
      <w:pPr>
        <w:pStyle w:val="ConsPlusTitle"/>
        <w:jc w:val="center"/>
        <w:rPr>
          <w:rFonts w:ascii="Times New Roman" w:cs="Times New Roman" w:hAnsi="Times New Roman" w:hint="default"/>
          <w:sz w:val="28"/>
          <w:szCs w:val="28"/>
        </w:rPr>
      </w:pPr>
      <w:r>
        <w:rPr>
          <w:rFonts w:ascii="Times New Roman" w:cs="Times New Roman" w:eastAsia="Times New Roman" w:hAnsi="Times New Roman" w:hint="default"/>
          <w:b/>
          <w:bCs/>
          <w:sz w:val="28"/>
          <w:szCs w:val="28"/>
        </w:rPr>
        <w:t xml:space="preserve">        </w:t>
      </w:r>
    </w:p>
    <w:p w14:paraId="00000154">
      <w:pPr>
        <w:tabs>
          <w:tab w:val="left" w:pos="4080"/>
        </w:tabs>
        <w:rPr>
          <w:rFonts w:ascii="Times New Roman" w:cs="Times New Roman" w:hAnsi="Times New Roman"/>
        </w:rPr>
      </w:pPr>
    </w:p>
    <w:sectPr>
      <w:pgSz w:w="11906" w:h="16838"/>
      <w:pgMar w:top="568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Times New Roman CYR">
    <w:panose1 w:val="02020603050405020304"/>
    <w:charset w:val="cc"/>
    <w:family w:val="roman"/>
    <w:pitch w:val="variable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983"/>
    <w:rsid w:val="000055FA"/>
    <w:rsid w:val="00016B44"/>
    <w:rsid w:val="0012039C"/>
    <w:rsid w:val="002E33C0"/>
    <w:rsid w:val="003A460A"/>
    <w:rsid w:val="004410C9"/>
    <w:rsid w:val="004722DA"/>
    <w:rsid w:val="004F2464"/>
    <w:rsid w:val="00534D3A"/>
    <w:rsid w:val="00584C10"/>
    <w:rsid w:val="00644539"/>
    <w:rsid w:val="006659DD"/>
    <w:rsid w:val="006B1085"/>
    <w:rsid w:val="00704077"/>
    <w:rsid w:val="007D2C79"/>
    <w:rsid w:val="00821F0D"/>
    <w:rsid w:val="00890F66"/>
    <w:rsid w:val="009546EB"/>
    <w:rsid w:val="009F1F0D"/>
    <w:rsid w:val="00A1082D"/>
    <w:rsid w:val="00AF2271"/>
    <w:rsid w:val="00B10C80"/>
    <w:rsid w:val="00BF4C31"/>
    <w:rsid w:val="00BF544E"/>
    <w:rsid w:val="00CF1983"/>
    <w:rsid w:val="00D77D97"/>
    <w:rsid w:val="00D77DC0"/>
    <w:rsid w:val="00D858AF"/>
    <w:rsid w:val="00DF2359"/>
    <w:rsid w:val="00E1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pPr>
      <w:widowControl w:val="off"/>
      <w:spacing w:after="0" w:line="240" w:lineRule="auto"/>
    </w:pPr>
    <w:rPr>
      <w:rFonts w:ascii="Calibri" w:cs="Calibri" w:eastAsia="Times New Roman" w:hAnsi="Calibri"/>
      <w:szCs w:val="20"/>
    </w:rPr>
  </w:style>
  <w:style w:type="paragraph" w:customStyle="1" w:styleId="ConsPlusTitle">
    <w:name w:val="ConsPlusTitle"/>
    <w:uiPriority w:val="99"/>
    <w:pPr>
      <w:widowControl w:val="off"/>
      <w:spacing w:after="0" w:line="240" w:lineRule="auto"/>
    </w:pPr>
    <w:rPr>
      <w:rFonts w:ascii="Calibri" w:cs="Calibri" w:hAnsi="Calibri"/>
      <w:b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character" w:customStyle="1" w:styleId="БезинтервалаЗнак">
    <w:name w:val="Без интервала Знак"/>
    <w:link w:val="NoSpacing"/>
    <w:uiPriority w:val="1"/>
    <w:qFormat w:val="on"/>
  </w:style>
  <w:style w:type="paragraph" w:styleId="NoSpacing">
    <w:name w:val="No Spacing"/>
    <w:link w:val="БезинтервалаЗнак"/>
    <w:uiPriority w:val="1"/>
    <w:qFormat w:val="on"/>
    <w:pPr>
      <w:spacing w:after="0" w:line="240" w:lineRule="auto"/>
    </w:pPr>
  </w:style>
  <w:style w:type="paragraph" w:customStyle="1" w:styleId="S_1">
    <w:name w:val="S_1"/>
    <w:basedOn w:val="Normal"/>
    <w:uiPriority w:val="99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Bodytext">
    <w:name w:val="Body text"/>
    <w:aliases w:val="Основной текст"/>
    <w:basedOn w:val="Normal"/>
    <w:link w:val="ОсновнойтекстЗнак"/>
    <w:uiPriority w:val="0"/>
    <w:pPr>
      <w:spacing w:after="120"/>
    </w:pPr>
    <w:rPr>
      <w:rFonts w:hint="default"/>
    </w:rPr>
  </w:style>
  <w:style w:type="character" w:customStyle="1" w:styleId="ОсновнойтекстЗнак">
    <w:name w:val="Основной текст Знак"/>
    <w:link w:val="Bodytext"/>
    <w:uiPriority w:val="0"/>
    <w:rPr>
      <w:rFonts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9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styles" Target="styles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26" Type="http://schemas.openxmlformats.org/officeDocument/2006/relationships/image" Target="media/image2.png"/><Relationship Id="rId4" Type="http://schemas.openxmlformats.org/officeDocument/2006/relationships/settings" Target="settings.xml"/><Relationship Id="rId1" Type="http://schemas.openxmlformats.org/officeDocument/2006/relationships/customXml" Target="../customXml/item1.xml"/><Relationship Id="rId3" Type="http://schemas.microsoft.com/office/2007/relationships/stylesWithEffects" Target="stylesWithEffects.xml"/><Relationship Id="rId5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16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3" Type="http://schemas.openxmlformats.org/officeDocument/2006/relationships/hyperlink" Target="consultantplus://offline/ref=702619F380D0990B1A1C2B722D8A4E237036FFB5DD4FE97C6D8248BB59D2B49DE3F44C1A1B3482EDCA74B90B7B5B60824B3055BC24E4D92DSB2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8B519-8D47-4D64-BFD1-EAE70E58E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3678</Words>
  <Characters>20965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ludmila</cp:lastModifiedBy>
</cp:coreProperties>
</file>